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4574" w14:textId="77777777" w:rsidR="00287738" w:rsidRDefault="00287738">
      <w:pPr>
        <w:rPr>
          <w:b/>
          <w:bCs/>
        </w:rPr>
      </w:pPr>
    </w:p>
    <w:p w14:paraId="0ADB5B0D" w14:textId="77777777" w:rsidR="00287738" w:rsidRDefault="00287738" w:rsidP="00287738">
      <w:pPr>
        <w:jc w:val="right"/>
        <w:rPr>
          <w:b/>
          <w:bCs/>
        </w:rPr>
      </w:pPr>
      <w:r>
        <w:rPr>
          <w:b/>
          <w:bCs/>
        </w:rPr>
        <w:t xml:space="preserve">Media Contact: </w:t>
      </w:r>
    </w:p>
    <w:p w14:paraId="5630ACE7" w14:textId="4799F757" w:rsidR="00287738" w:rsidRPr="00287738" w:rsidRDefault="00287738" w:rsidP="00287738">
      <w:pPr>
        <w:jc w:val="right"/>
      </w:pPr>
      <w:r w:rsidRPr="00287738">
        <w:t>Andrew Ricci</w:t>
      </w:r>
      <w:r>
        <w:t xml:space="preserve"> (</w:t>
      </w:r>
      <w:r w:rsidRPr="00287738">
        <w:t>andrew@ricconstrategic.com</w:t>
      </w:r>
      <w:r>
        <w:t>)</w:t>
      </w:r>
    </w:p>
    <w:p w14:paraId="7E31F702" w14:textId="77777777" w:rsidR="00D7722E" w:rsidRDefault="00D7722E">
      <w:pPr>
        <w:rPr>
          <w:b/>
          <w:bCs/>
        </w:rPr>
      </w:pPr>
    </w:p>
    <w:p w14:paraId="46E98BC4" w14:textId="77777777" w:rsidR="00287738" w:rsidRDefault="00287738" w:rsidP="00287738">
      <w:pPr>
        <w:rPr>
          <w:b/>
          <w:bCs/>
        </w:rPr>
      </w:pPr>
      <w:r>
        <w:rPr>
          <w:b/>
          <w:bCs/>
        </w:rPr>
        <w:t>FOR IMMEDIATE RELEASE</w:t>
      </w:r>
    </w:p>
    <w:p w14:paraId="7763B37C" w14:textId="77777777" w:rsidR="00287738" w:rsidRDefault="00287738">
      <w:pPr>
        <w:rPr>
          <w:b/>
          <w:bCs/>
        </w:rPr>
      </w:pPr>
    </w:p>
    <w:p w14:paraId="03CE3934" w14:textId="5E51ABA0" w:rsidR="00EB1770" w:rsidRDefault="00A86A15">
      <w:pPr>
        <w:rPr>
          <w:b/>
          <w:bCs/>
        </w:rPr>
      </w:pPr>
      <w:r>
        <w:rPr>
          <w:b/>
          <w:bCs/>
        </w:rPr>
        <w:t xml:space="preserve">Financial Services Trade Groups File </w:t>
      </w:r>
      <w:r w:rsidR="00501793">
        <w:rPr>
          <w:b/>
          <w:bCs/>
        </w:rPr>
        <w:t>Lawsuit Challenging Oregon’s DIDMCA Opt-Out Law</w:t>
      </w:r>
    </w:p>
    <w:p w14:paraId="5F497828" w14:textId="79D4446E" w:rsidR="005070EA" w:rsidRPr="00501793" w:rsidRDefault="00501793">
      <w:pPr>
        <w:rPr>
          <w:i/>
          <w:iCs/>
        </w:rPr>
      </w:pPr>
      <w:r>
        <w:rPr>
          <w:i/>
          <w:iCs/>
        </w:rPr>
        <w:t>-</w:t>
      </w:r>
      <w:r w:rsidR="00C46785">
        <w:rPr>
          <w:i/>
          <w:iCs/>
        </w:rPr>
        <w:t xml:space="preserve">National Association of Industrial Bankers (NAIB), American Financial Services Association (AFSA), and </w:t>
      </w:r>
      <w:r w:rsidR="00A86A15">
        <w:rPr>
          <w:i/>
          <w:iCs/>
        </w:rPr>
        <w:t>Online Lenders Alliance</w:t>
      </w:r>
      <w:r w:rsidR="00162A73">
        <w:rPr>
          <w:i/>
          <w:iCs/>
        </w:rPr>
        <w:t xml:space="preserve"> (OLA)</w:t>
      </w:r>
      <w:r w:rsidR="00A86A15">
        <w:rPr>
          <w:i/>
          <w:iCs/>
        </w:rPr>
        <w:t xml:space="preserve"> </w:t>
      </w:r>
      <w:r>
        <w:rPr>
          <w:i/>
          <w:iCs/>
        </w:rPr>
        <w:t xml:space="preserve">Seek </w:t>
      </w:r>
      <w:r w:rsidR="004D2E59">
        <w:rPr>
          <w:i/>
          <w:iCs/>
        </w:rPr>
        <w:t>Relief</w:t>
      </w:r>
      <w:r>
        <w:rPr>
          <w:i/>
          <w:iCs/>
        </w:rPr>
        <w:t xml:space="preserve"> to Protect Credit Access for Oregon Consumers </w:t>
      </w:r>
      <w:r w:rsidR="00D018A5">
        <w:rPr>
          <w:i/>
          <w:iCs/>
        </w:rPr>
        <w:t>b</w:t>
      </w:r>
      <w:r>
        <w:rPr>
          <w:i/>
          <w:iCs/>
        </w:rPr>
        <w:t>y Halting Enforcement of HB 4116-</w:t>
      </w:r>
    </w:p>
    <w:p w14:paraId="3EC75CEC" w14:textId="77777777" w:rsidR="00501793" w:rsidRDefault="00501793">
      <w:pPr>
        <w:rPr>
          <w:b/>
          <w:bCs/>
        </w:rPr>
      </w:pPr>
    </w:p>
    <w:p w14:paraId="61437DE5" w14:textId="39FBD1C4" w:rsidR="00501793" w:rsidRDefault="008C2F14" w:rsidP="00FA1286">
      <w:r>
        <w:t>ARLINGTON, Va. (</w:t>
      </w:r>
      <w:r w:rsidR="00501793">
        <w:t>June</w:t>
      </w:r>
      <w:r w:rsidR="003A7C92">
        <w:t xml:space="preserve"> </w:t>
      </w:r>
      <w:r w:rsidR="001330A9" w:rsidRPr="001330A9">
        <w:t>15</w:t>
      </w:r>
      <w:r w:rsidR="003B419D">
        <w:t>, 202</w:t>
      </w:r>
      <w:r w:rsidR="003A7C92">
        <w:t>6</w:t>
      </w:r>
      <w:r>
        <w:t>)</w:t>
      </w:r>
      <w:r w:rsidR="00FC60D3">
        <w:t>—</w:t>
      </w:r>
      <w:r w:rsidR="00A86A15">
        <w:t xml:space="preserve">A coalition of </w:t>
      </w:r>
      <w:r w:rsidR="005844D3">
        <w:t xml:space="preserve">financial services trade groups, </w:t>
      </w:r>
      <w:r w:rsidR="00A86A15">
        <w:t xml:space="preserve">including </w:t>
      </w:r>
      <w:r w:rsidR="005844D3">
        <w:t>t</w:t>
      </w:r>
      <w:r w:rsidR="00501793">
        <w:t xml:space="preserve">he </w:t>
      </w:r>
      <w:r w:rsidR="00C46785">
        <w:t xml:space="preserve">National Association of Industrial Bankers (NAIB), American Financial Services Association (AFSA), and </w:t>
      </w:r>
      <w:r w:rsidR="00501793">
        <w:t>Online Lenders Alliance (OLA)</w:t>
      </w:r>
      <w:r w:rsidR="00A86A15">
        <w:t xml:space="preserve">, </w:t>
      </w:r>
      <w:r w:rsidR="00501793">
        <w:t xml:space="preserve">today </w:t>
      </w:r>
      <w:r w:rsidR="00A86A15">
        <w:t>filed</w:t>
      </w:r>
      <w:r w:rsidR="004D2E59">
        <w:t xml:space="preserve"> </w:t>
      </w:r>
      <w:r w:rsidR="00501793">
        <w:t xml:space="preserve">a lawsuit </w:t>
      </w:r>
      <w:r w:rsidR="004C3324">
        <w:t xml:space="preserve">in the federal district court in Oregon </w:t>
      </w:r>
      <w:r w:rsidR="00501793">
        <w:t>against the Oregon Department of Consumer and Business Services seeking a preliminary injunction to prevent enforcement of House Bill 4116</w:t>
      </w:r>
      <w:r w:rsidR="00A86A15">
        <w:t xml:space="preserve">. The recently enacted law opts </w:t>
      </w:r>
      <w:r w:rsidR="00501793">
        <w:t>Oregon out of Section 521 of the Depository Institutions Deregulation and Monetary Control Act of 1980 (DIDMCA).</w:t>
      </w:r>
    </w:p>
    <w:p w14:paraId="73D81A89" w14:textId="77777777" w:rsidR="00501793" w:rsidRDefault="00501793" w:rsidP="00FA1286"/>
    <w:p w14:paraId="0E467EF5" w14:textId="7DBED29B" w:rsidR="00501793" w:rsidRDefault="005844D3" w:rsidP="00FA1286">
      <w:r>
        <w:t xml:space="preserve">The </w:t>
      </w:r>
      <w:r w:rsidR="00A86A15">
        <w:t xml:space="preserve">trade groups’ complaint </w:t>
      </w:r>
      <w:r>
        <w:t>argue</w:t>
      </w:r>
      <w:r w:rsidR="00A86A15">
        <w:t>s</w:t>
      </w:r>
      <w:r w:rsidR="00501793">
        <w:t xml:space="preserve"> that HB 4116 “is preempted by federal law because it impermissibly seeks to regulate the interest rates charged on consumer finance loans made in other states by state banks in conformity with their home states’ laws and federal banking law.”</w:t>
      </w:r>
    </w:p>
    <w:p w14:paraId="6F8F1CCC" w14:textId="77777777" w:rsidR="00501793" w:rsidRPr="000D3DB5" w:rsidRDefault="00501793" w:rsidP="00FA1286"/>
    <w:p w14:paraId="5986B477" w14:textId="216FAF14" w:rsidR="00C46785" w:rsidRPr="000D3DB5" w:rsidRDefault="00C46785" w:rsidP="00C46785">
      <w:r w:rsidRPr="000D3DB5">
        <w:t xml:space="preserve">“Oregon is reinterpreting longstanding interstate banking rules that </w:t>
      </w:r>
      <w:r w:rsidR="00E552F9">
        <w:t>prohibited states from imposing their</w:t>
      </w:r>
      <w:r w:rsidRPr="000D3DB5">
        <w:t xml:space="preserve"> own restrictions on loans made by out-of-state banks,” said</w:t>
      </w:r>
      <w:r w:rsidR="003C32E1" w:rsidRPr="000D3DB5">
        <w:t xml:space="preserve"> </w:t>
      </w:r>
      <w:r w:rsidRPr="000D3DB5">
        <w:t xml:space="preserve">Frank </w:t>
      </w:r>
      <w:bookmarkStart w:id="0" w:name="_Int_a5ebSP2O"/>
      <w:r w:rsidRPr="000D3DB5">
        <w:t>Pignanelli</w:t>
      </w:r>
      <w:bookmarkEnd w:id="0"/>
      <w:r w:rsidRPr="000D3DB5">
        <w:t xml:space="preserve">, Executive Director of the National Association of Industrial Bankers. </w:t>
      </w:r>
      <w:r w:rsidR="000D3DB5">
        <w:t>“</w:t>
      </w:r>
      <w:r w:rsidRPr="000D3DB5">
        <w:t xml:space="preserve">The irony is that restricting how credit is priced </w:t>
      </w:r>
      <w:r w:rsidR="000D3DB5">
        <w:t xml:space="preserve">does not </w:t>
      </w:r>
      <w:r w:rsidRPr="000D3DB5">
        <w:t>make it cheaper</w:t>
      </w:r>
      <w:r w:rsidR="003C32E1" w:rsidRPr="000D3DB5">
        <w:t>—</w:t>
      </w:r>
      <w:r w:rsidR="000D3DB5">
        <w:t>just</w:t>
      </w:r>
      <w:r w:rsidRPr="000D3DB5">
        <w:t xml:space="preserve"> less available, especially for consumers who need it most.”</w:t>
      </w:r>
    </w:p>
    <w:p w14:paraId="0BCB326A" w14:textId="77777777" w:rsidR="00C46785" w:rsidRDefault="00C46785" w:rsidP="00FA1286"/>
    <w:p w14:paraId="1846B329" w14:textId="4F9A5BA7" w:rsidR="00C46785" w:rsidRPr="00D7722E" w:rsidRDefault="00D018A5" w:rsidP="00C46785">
      <w:pPr>
        <w:rPr>
          <w:rFonts w:eastAsia="Times New Roman" w:cs="Times New Roman"/>
          <w:color w:val="212121"/>
          <w:kern w:val="0"/>
          <w14:ligatures w14:val="none"/>
        </w:rPr>
      </w:pPr>
      <w:r>
        <w:rPr>
          <w:rFonts w:eastAsia="Times New Roman" w:cs="Times New Roman"/>
          <w:color w:val="000000"/>
          <w:kern w:val="0"/>
          <w14:ligatures w14:val="none"/>
        </w:rPr>
        <w:t>“</w:t>
      </w:r>
      <w:r w:rsidR="00C46785" w:rsidRPr="00D7722E">
        <w:rPr>
          <w:rFonts w:eastAsia="Times New Roman" w:cs="Times New Roman"/>
          <w:color w:val="000000"/>
          <w:kern w:val="0"/>
          <w14:ligatures w14:val="none"/>
        </w:rPr>
        <w:t xml:space="preserve">For </w:t>
      </w:r>
      <w:r w:rsidR="00E552F9">
        <w:rPr>
          <w:rFonts w:eastAsia="Times New Roman" w:cs="Times New Roman"/>
          <w:color w:val="000000"/>
          <w:kern w:val="0"/>
          <w14:ligatures w14:val="none"/>
        </w:rPr>
        <w:t>forty-six years</w:t>
      </w:r>
      <w:r w:rsidR="00C46785" w:rsidRPr="00D7722E">
        <w:rPr>
          <w:rFonts w:eastAsia="Times New Roman" w:cs="Times New Roman"/>
          <w:color w:val="000000"/>
          <w:kern w:val="0"/>
          <w14:ligatures w14:val="none"/>
        </w:rPr>
        <w:t>, federal law has allowed state banks to lend across state lines on equal footing with national banks. Oregon</w:t>
      </w:r>
      <w:r>
        <w:rPr>
          <w:rFonts w:eastAsia="Times New Roman" w:cs="Times New Roman"/>
          <w:color w:val="000000"/>
          <w:kern w:val="0"/>
          <w14:ligatures w14:val="none"/>
        </w:rPr>
        <w:t>’</w:t>
      </w:r>
      <w:r w:rsidR="00C46785" w:rsidRPr="00D7722E">
        <w:rPr>
          <w:rFonts w:eastAsia="Times New Roman" w:cs="Times New Roman"/>
          <w:color w:val="000000"/>
          <w:kern w:val="0"/>
          <w14:ligatures w14:val="none"/>
        </w:rPr>
        <w:t>s opt-out upends that settled framework and, in doing so, strips credit from the consumers who can least afford to lose it,</w:t>
      </w:r>
      <w:r>
        <w:rPr>
          <w:rFonts w:eastAsia="Times New Roman" w:cs="Times New Roman"/>
          <w:color w:val="000000"/>
          <w:kern w:val="0"/>
          <w14:ligatures w14:val="none"/>
        </w:rPr>
        <w:t>”</w:t>
      </w:r>
      <w:r w:rsidR="00C46785" w:rsidRPr="00D7722E">
        <w:rPr>
          <w:rFonts w:eastAsia="Times New Roman" w:cs="Times New Roman"/>
          <w:color w:val="000000"/>
          <w:kern w:val="0"/>
          <w14:ligatures w14:val="none"/>
        </w:rPr>
        <w:t xml:space="preserve"> said Celia Winslow, President and CEO of the American Financial Services Association. </w:t>
      </w:r>
      <w:r>
        <w:rPr>
          <w:rFonts w:eastAsia="Times New Roman" w:cs="Times New Roman"/>
          <w:color w:val="000000"/>
          <w:kern w:val="0"/>
          <w14:ligatures w14:val="none"/>
        </w:rPr>
        <w:t>“</w:t>
      </w:r>
      <w:r w:rsidR="00C46785" w:rsidRPr="00D7722E">
        <w:rPr>
          <w:rFonts w:eastAsia="Times New Roman" w:cs="Times New Roman"/>
          <w:color w:val="000000"/>
          <w:kern w:val="0"/>
          <w14:ligatures w14:val="none"/>
        </w:rPr>
        <w:t>An injunction is essential to protect access to credit for Oregon families while the courts weigh these issues.</w:t>
      </w:r>
      <w:r>
        <w:rPr>
          <w:rFonts w:eastAsia="Times New Roman" w:cs="Times New Roman"/>
          <w:color w:val="000000"/>
          <w:kern w:val="0"/>
          <w14:ligatures w14:val="none"/>
        </w:rPr>
        <w:t>”</w:t>
      </w:r>
    </w:p>
    <w:p w14:paraId="0B48A854" w14:textId="77777777" w:rsidR="00C46785" w:rsidRDefault="00C46785" w:rsidP="00FA1286"/>
    <w:p w14:paraId="7A8CA0FB" w14:textId="59C9B194" w:rsidR="00EF7831" w:rsidRPr="003C32E1" w:rsidRDefault="00EF7831" w:rsidP="00EF7831">
      <w:r>
        <w:t>“DIDMCA fostered the strong dual banking system that has expanded financial options for millions of Americans,” said Online Lenders Alliance Chief Executive Officer Andrew Duke. “</w:t>
      </w:r>
      <w:r w:rsidR="00AE636C">
        <w:t xml:space="preserve">Oregon’s attempt to regulate the interest rates of out-of-state state banks conflicts with decades of settled banking law. </w:t>
      </w:r>
      <w:r>
        <w:t>HB 4116 is yet another</w:t>
      </w:r>
      <w:r w:rsidR="00E552F9">
        <w:t xml:space="preserve"> impermissible</w:t>
      </w:r>
      <w:r>
        <w:t xml:space="preserve"> attempt to weaponize DIDMCA’s opt-out provisions to eliminate credit products rather than promote a competitive marketplace.</w:t>
      </w:r>
      <w:r w:rsidR="00AE636C">
        <w:t>”</w:t>
      </w:r>
    </w:p>
    <w:p w14:paraId="6874B311" w14:textId="77777777" w:rsidR="00501793" w:rsidRDefault="00501793" w:rsidP="00FA1286"/>
    <w:p w14:paraId="7C9470EB" w14:textId="462AED1A" w:rsidR="00371AC5" w:rsidRPr="008D6FD2" w:rsidRDefault="00371AC5" w:rsidP="00371AC5">
      <w:r w:rsidRPr="008D6FD2">
        <w:t>To read a copy of the complaint</w:t>
      </w:r>
      <w:r w:rsidR="0073732C" w:rsidRPr="008D6FD2">
        <w:t xml:space="preserve">, </w:t>
      </w:r>
      <w:hyperlink r:id="rId8" w:history="1">
        <w:r w:rsidRPr="008D6FD2">
          <w:rPr>
            <w:rStyle w:val="Hyperlink"/>
          </w:rPr>
          <w:t>click here</w:t>
        </w:r>
      </w:hyperlink>
      <w:r w:rsidRPr="008D6FD2">
        <w:t xml:space="preserve">. </w:t>
      </w:r>
    </w:p>
    <w:p w14:paraId="447D18ED" w14:textId="77777777" w:rsidR="00371AC5" w:rsidRDefault="00371AC5" w:rsidP="00FA1286"/>
    <w:p w14:paraId="24243A48" w14:textId="73A9BD6E" w:rsidR="00371AC5" w:rsidRDefault="00371AC5" w:rsidP="003F213F">
      <w:r>
        <w:t xml:space="preserve">Congress enacted DIDMCA in 1980 to allow federally insured state banks, state credit unions, and state savings institutions to export their home state interest rates when lending across state </w:t>
      </w:r>
      <w:r>
        <w:lastRenderedPageBreak/>
        <w:t xml:space="preserve">lines—an ability that national banks already held under the National Bank Act. The law placed state-chartered </w:t>
      </w:r>
      <w:r w:rsidR="00364D18">
        <w:t xml:space="preserve">depository </w:t>
      </w:r>
      <w:r>
        <w:t>institutions on equal footing with their federal counterparts, increasing competition and expanding options for consumers in the financial marketplace.</w:t>
      </w:r>
      <w:r w:rsidR="003C32E1">
        <w:t xml:space="preserve"> </w:t>
      </w:r>
      <w:r w:rsidR="003C32E1">
        <w:t xml:space="preserve">The </w:t>
      </w:r>
      <w:r w:rsidR="00D018A5">
        <w:t>d</w:t>
      </w:r>
      <w:r w:rsidR="003C32E1">
        <w:t xml:space="preserve">istrict </w:t>
      </w:r>
      <w:r w:rsidR="00D018A5">
        <w:t>c</w:t>
      </w:r>
      <w:r w:rsidR="003C32E1">
        <w:t xml:space="preserve">ourt in Colorado, Federal Deposit Insurance Corporation (FDIC), and Office of the Comptroller of the Currency (OCC) have all recognized that a state’s effort to use an opt-out as a basis to regulate the interest rates of out-of-state banks places those banks at a competitive disadvantage to national banks, whose loans to Oregon borrowers are unaffected by the </w:t>
      </w:r>
      <w:r w:rsidR="00E552F9">
        <w:t xml:space="preserve">opt-out </w:t>
      </w:r>
      <w:r w:rsidR="003C32E1">
        <w:t>statute. This competitive inequality was precisely what Congress sought to erase when it enacted DIDMCA’s Section 521 in 1980.</w:t>
      </w:r>
    </w:p>
    <w:p w14:paraId="61112E51" w14:textId="77777777" w:rsidR="003C32E1" w:rsidRDefault="003C32E1" w:rsidP="003F213F"/>
    <w:p w14:paraId="59DFDFDD" w14:textId="0E2AEAFB" w:rsidR="003C32E1" w:rsidRDefault="003C32E1" w:rsidP="003F213F">
      <w:r>
        <w:t xml:space="preserve">The same three entities have </w:t>
      </w:r>
      <w:r w:rsidR="005D6597">
        <w:t xml:space="preserve">also </w:t>
      </w:r>
      <w:r>
        <w:t xml:space="preserve">all declared that opting out of Section 521 does not authorize a state to regulate the interest rates charged by </w:t>
      </w:r>
      <w:r w:rsidR="001330A9">
        <w:t xml:space="preserve">other </w:t>
      </w:r>
      <w:r>
        <w:t>state</w:t>
      </w:r>
      <w:r w:rsidR="001330A9">
        <w:t>s’</w:t>
      </w:r>
      <w:r>
        <w:t xml:space="preserve"> banks on interstate loans made in accordance</w:t>
      </w:r>
      <w:r w:rsidR="005D6597">
        <w:t xml:space="preserve"> with their home states’ laws, and that any lower interest rate ceilings in the borrowers</w:t>
      </w:r>
      <w:r w:rsidR="00E552F9">
        <w:t>’</w:t>
      </w:r>
      <w:r w:rsidR="005D6597">
        <w:t xml:space="preserve"> state are preempted by Section 521.</w:t>
      </w:r>
    </w:p>
    <w:p w14:paraId="75EAEA1C" w14:textId="77777777" w:rsidR="003F213F" w:rsidRDefault="003F213F" w:rsidP="003F213F"/>
    <w:p w14:paraId="7EE68A1E" w14:textId="77777777" w:rsidR="000561E5" w:rsidRDefault="000561E5" w:rsidP="00C46785">
      <w:pPr>
        <w:pStyle w:val="NormalWeb"/>
        <w:spacing w:before="0" w:beforeAutospacing="0" w:after="0" w:afterAutospacing="0"/>
      </w:pPr>
      <w:r>
        <w:t>###</w:t>
      </w:r>
    </w:p>
    <w:p w14:paraId="1858F448" w14:textId="77777777" w:rsidR="003F213F" w:rsidRDefault="003F213F" w:rsidP="00C46785">
      <w:pPr>
        <w:pStyle w:val="NormalWeb"/>
        <w:spacing w:before="0" w:beforeAutospacing="0" w:after="0" w:afterAutospacing="0"/>
        <w:rPr>
          <w:rStyle w:val="Strong"/>
          <w:rFonts w:eastAsiaTheme="majorEastAsia"/>
        </w:rPr>
      </w:pPr>
    </w:p>
    <w:p w14:paraId="0D9FF297" w14:textId="77777777" w:rsidR="00C46785" w:rsidRPr="00C46785" w:rsidRDefault="00C46785" w:rsidP="00C46785">
      <w:pPr>
        <w:pStyle w:val="NormalWeb"/>
        <w:spacing w:before="0" w:beforeAutospacing="0" w:after="0" w:afterAutospacing="0"/>
        <w:rPr>
          <w:b/>
          <w:bCs/>
        </w:rPr>
      </w:pPr>
      <w:r w:rsidRPr="00C46785">
        <w:rPr>
          <w:b/>
          <w:bCs/>
        </w:rPr>
        <w:t>About the National Association of Industrial Bankers</w:t>
      </w:r>
    </w:p>
    <w:p w14:paraId="4C2A4154" w14:textId="77777777" w:rsidR="00C46785" w:rsidRPr="00C46785" w:rsidRDefault="00C46785" w:rsidP="00C46785">
      <w:pPr>
        <w:pStyle w:val="NormalWeb"/>
        <w:spacing w:before="0" w:beforeAutospacing="0" w:after="0" w:afterAutospacing="0"/>
      </w:pPr>
      <w:r w:rsidRPr="00C46785">
        <w:t>The National Association of Industrial Bankers (NAIB) represents the nation’s industrial banks, which provide FDIC-insured financial services across the United States. Industrial banks have a unique record of safety, innovation, and support for American businesses and families.</w:t>
      </w:r>
    </w:p>
    <w:p w14:paraId="7A1FA8B1" w14:textId="77777777" w:rsidR="00C46785" w:rsidRDefault="00C46785" w:rsidP="00C46785">
      <w:pPr>
        <w:pStyle w:val="NormalWeb"/>
        <w:spacing w:before="0" w:beforeAutospacing="0" w:after="0" w:afterAutospacing="0"/>
        <w:rPr>
          <w:rStyle w:val="Strong"/>
          <w:rFonts w:eastAsiaTheme="majorEastAsia"/>
        </w:rPr>
      </w:pPr>
    </w:p>
    <w:p w14:paraId="4974B1D5" w14:textId="58D162CF" w:rsidR="00C46785" w:rsidRPr="00D7722E" w:rsidRDefault="00C46785" w:rsidP="00C46785">
      <w:pPr>
        <w:rPr>
          <w:rFonts w:eastAsia="Times New Roman" w:cs="Times New Roman"/>
          <w:b/>
          <w:bCs/>
          <w:color w:val="212529"/>
          <w:kern w:val="0"/>
          <w14:ligatures w14:val="none"/>
        </w:rPr>
      </w:pPr>
      <w:r>
        <w:rPr>
          <w:rFonts w:eastAsia="Times New Roman" w:cs="Times New Roman"/>
          <w:b/>
          <w:bCs/>
          <w:color w:val="212529"/>
          <w:kern w:val="0"/>
          <w14:ligatures w14:val="none"/>
        </w:rPr>
        <w:t>About the American Financial Service</w:t>
      </w:r>
      <w:r w:rsidR="0045395A">
        <w:rPr>
          <w:rFonts w:eastAsia="Times New Roman" w:cs="Times New Roman"/>
          <w:b/>
          <w:bCs/>
          <w:color w:val="212529"/>
          <w:kern w:val="0"/>
          <w14:ligatures w14:val="none"/>
        </w:rPr>
        <w:t>s</w:t>
      </w:r>
      <w:r>
        <w:rPr>
          <w:rFonts w:eastAsia="Times New Roman" w:cs="Times New Roman"/>
          <w:b/>
          <w:bCs/>
          <w:color w:val="212529"/>
          <w:kern w:val="0"/>
          <w14:ligatures w14:val="none"/>
        </w:rPr>
        <w:t xml:space="preserve"> Association</w:t>
      </w:r>
    </w:p>
    <w:p w14:paraId="053E55C9" w14:textId="60252167" w:rsidR="0041764D" w:rsidRPr="0041764D" w:rsidRDefault="0041764D" w:rsidP="0041764D">
      <w:pPr>
        <w:rPr>
          <w:rFonts w:ascii="Aptos" w:eastAsia="Times New Roman" w:hAnsi="Aptos" w:cs="Times New Roman"/>
          <w:color w:val="212121"/>
          <w:kern w:val="0"/>
          <w14:ligatures w14:val="none"/>
        </w:rPr>
      </w:pPr>
      <w:r w:rsidRPr="0041764D">
        <w:rPr>
          <w:rFonts w:eastAsia="Times New Roman" w:cs="Times New Roman"/>
          <w:color w:val="212121"/>
          <w:kern w:val="0"/>
          <w14:ligatures w14:val="none"/>
        </w:rPr>
        <w:t>The American Financial Services Association (AFSA) is the primary trade association for the consumer credit industry, protecting access to credit and consumer choice. Its members offer traditional installment loans, direct and indirect vehicle financing, other retail sales finance, mortgages, and payment cards.</w:t>
      </w:r>
    </w:p>
    <w:p w14:paraId="4B526436" w14:textId="77777777" w:rsidR="00C46785" w:rsidRDefault="00C46785" w:rsidP="00C46785">
      <w:pPr>
        <w:pStyle w:val="NormalWeb"/>
        <w:spacing w:before="0" w:beforeAutospacing="0" w:after="0" w:afterAutospacing="0"/>
        <w:rPr>
          <w:rStyle w:val="Strong"/>
          <w:rFonts w:eastAsiaTheme="majorEastAsia"/>
        </w:rPr>
      </w:pPr>
    </w:p>
    <w:p w14:paraId="6D4D8FDD" w14:textId="3CA5DE38" w:rsidR="000561E5" w:rsidRDefault="000561E5" w:rsidP="00C46785">
      <w:pPr>
        <w:pStyle w:val="NormalWeb"/>
        <w:spacing w:before="0" w:beforeAutospacing="0" w:after="0" w:afterAutospacing="0"/>
      </w:pPr>
      <w:r>
        <w:rPr>
          <w:rStyle w:val="Strong"/>
          <w:rFonts w:eastAsiaTheme="majorEastAsia"/>
        </w:rPr>
        <w:t xml:space="preserve">About </w:t>
      </w:r>
      <w:r w:rsidR="00D018A5">
        <w:rPr>
          <w:rStyle w:val="Strong"/>
          <w:rFonts w:eastAsiaTheme="majorEastAsia"/>
        </w:rPr>
        <w:t>t</w:t>
      </w:r>
      <w:r>
        <w:rPr>
          <w:rStyle w:val="Strong"/>
          <w:rFonts w:eastAsiaTheme="majorEastAsia"/>
        </w:rPr>
        <w:t>he Online Lenders Alliance</w:t>
      </w:r>
    </w:p>
    <w:p w14:paraId="772259F6" w14:textId="32DB3ECA" w:rsidR="00D7722E" w:rsidRPr="00C46785" w:rsidRDefault="000561E5" w:rsidP="00C46785">
      <w:pPr>
        <w:pStyle w:val="NormalWeb"/>
        <w:spacing w:before="0" w:beforeAutospacing="0" w:after="0" w:afterAutospacing="0"/>
      </w:pPr>
      <w:r>
        <w:t xml:space="preserve">The Online Lenders Alliance (OLA) is the first trade association in </w:t>
      </w:r>
      <w:r w:rsidR="00202BC5">
        <w:t>technology-driven lending</w:t>
      </w:r>
      <w:r>
        <w:t xml:space="preserve">. OLA is focused on credit inclusion, bringing together a diverse group of innovative companies who share a common goal: to serve hardworking Americans who deserve access to trustworthy credit. Our members are lenders, credit bureaus, advertisers, lead generators, compliance professionals, and software developers who are leveraging technology to responsibly improve consumers’ </w:t>
      </w:r>
      <w:r w:rsidRPr="00D7722E">
        <w:t>financial health.</w:t>
      </w:r>
    </w:p>
    <w:sectPr w:rsidR="00D7722E" w:rsidRPr="00C46785" w:rsidSect="0028773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079BB" w14:textId="77777777" w:rsidR="00904F62" w:rsidRDefault="00904F62" w:rsidP="0045395A">
      <w:r>
        <w:separator/>
      </w:r>
    </w:p>
  </w:endnote>
  <w:endnote w:type="continuationSeparator" w:id="0">
    <w:p w14:paraId="1BBE8B07" w14:textId="77777777" w:rsidR="00904F62" w:rsidRDefault="00904F62" w:rsidP="0045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334A" w14:textId="77777777" w:rsidR="00904F62" w:rsidRDefault="00904F62" w:rsidP="0045395A">
      <w:r>
        <w:separator/>
      </w:r>
    </w:p>
  </w:footnote>
  <w:footnote w:type="continuationSeparator" w:id="0">
    <w:p w14:paraId="15ECAF02" w14:textId="77777777" w:rsidR="00904F62" w:rsidRDefault="00904F62" w:rsidP="00453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3150"/>
      <w:gridCol w:w="3060"/>
    </w:tblGrid>
    <w:tr w:rsidR="00287738" w14:paraId="6906B8A4" w14:textId="77777777" w:rsidTr="00C453A5">
      <w:tc>
        <w:tcPr>
          <w:tcW w:w="3240" w:type="dxa"/>
        </w:tcPr>
        <w:p w14:paraId="422F8F81" w14:textId="33E5B702" w:rsidR="00E215B9" w:rsidRDefault="00287738" w:rsidP="00E215B9">
          <w:pPr>
            <w:pStyle w:val="Header"/>
          </w:pPr>
          <w:r>
            <w:rPr>
              <w:noProof/>
            </w:rPr>
            <w:drawing>
              <wp:inline distT="0" distB="0" distL="0" distR="0" wp14:anchorId="41E65049" wp14:editId="282E85FF">
                <wp:extent cx="1719743" cy="383699"/>
                <wp:effectExtent l="0" t="0" r="0" b="0"/>
                <wp:docPr id="49126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60470" name="Picture 491260470"/>
                        <pic:cNvPicPr/>
                      </pic:nvPicPr>
                      <pic:blipFill rotWithShape="1">
                        <a:blip r:embed="rId1">
                          <a:extLst>
                            <a:ext uri="{28A0092B-C50C-407E-A947-70E740481C1C}">
                              <a14:useLocalDpi xmlns:a14="http://schemas.microsoft.com/office/drawing/2010/main" val="0"/>
                            </a:ext>
                          </a:extLst>
                        </a:blip>
                        <a:srcRect b="14650"/>
                        <a:stretch>
                          <a:fillRect/>
                        </a:stretch>
                      </pic:blipFill>
                      <pic:spPr bwMode="auto">
                        <a:xfrm>
                          <a:off x="0" y="0"/>
                          <a:ext cx="2009065" cy="448251"/>
                        </a:xfrm>
                        <a:prstGeom prst="rect">
                          <a:avLst/>
                        </a:prstGeom>
                        <a:ln>
                          <a:noFill/>
                        </a:ln>
                        <a:extLst>
                          <a:ext uri="{53640926-AAD7-44D8-BBD7-CCE9431645EC}">
                            <a14:shadowObscured xmlns:a14="http://schemas.microsoft.com/office/drawing/2010/main"/>
                          </a:ext>
                        </a:extLst>
                      </pic:spPr>
                    </pic:pic>
                  </a:graphicData>
                </a:graphic>
              </wp:inline>
            </w:drawing>
          </w:r>
        </w:p>
      </w:tc>
      <w:tc>
        <w:tcPr>
          <w:tcW w:w="3150" w:type="dxa"/>
        </w:tcPr>
        <w:p w14:paraId="35A12633" w14:textId="77777777" w:rsidR="00287738" w:rsidRDefault="00287738" w:rsidP="00287738">
          <w:pPr>
            <w:pStyle w:val="Header"/>
            <w:jc w:val="center"/>
          </w:pPr>
          <w:r>
            <w:rPr>
              <w:noProof/>
            </w:rPr>
            <w:drawing>
              <wp:inline distT="0" distB="0" distL="0" distR="0" wp14:anchorId="700A7F53" wp14:editId="2D0116CA">
                <wp:extent cx="1240847" cy="389418"/>
                <wp:effectExtent l="0" t="0" r="3810" b="4445"/>
                <wp:docPr id="1967450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50409" name="Picture 1967450409"/>
                        <pic:cNvPicPr/>
                      </pic:nvPicPr>
                      <pic:blipFill rotWithShape="1">
                        <a:blip r:embed="rId2">
                          <a:extLst>
                            <a:ext uri="{28A0092B-C50C-407E-A947-70E740481C1C}">
                              <a14:useLocalDpi xmlns:a14="http://schemas.microsoft.com/office/drawing/2010/main" val="0"/>
                            </a:ext>
                          </a:extLst>
                        </a:blip>
                        <a:srcRect t="18668" b="14673"/>
                        <a:stretch>
                          <a:fillRect/>
                        </a:stretch>
                      </pic:blipFill>
                      <pic:spPr bwMode="auto">
                        <a:xfrm>
                          <a:off x="0" y="0"/>
                          <a:ext cx="1280242" cy="401782"/>
                        </a:xfrm>
                        <a:prstGeom prst="rect">
                          <a:avLst/>
                        </a:prstGeom>
                        <a:ln>
                          <a:noFill/>
                        </a:ln>
                        <a:extLst>
                          <a:ext uri="{53640926-AAD7-44D8-BBD7-CCE9431645EC}">
                            <a14:shadowObscured xmlns:a14="http://schemas.microsoft.com/office/drawing/2010/main"/>
                          </a:ext>
                        </a:extLst>
                      </pic:spPr>
                    </pic:pic>
                  </a:graphicData>
                </a:graphic>
              </wp:inline>
            </w:drawing>
          </w:r>
        </w:p>
      </w:tc>
      <w:tc>
        <w:tcPr>
          <w:tcW w:w="3060" w:type="dxa"/>
        </w:tcPr>
        <w:p w14:paraId="0243404F" w14:textId="77777777" w:rsidR="00287738" w:rsidRDefault="00287738" w:rsidP="00287738">
          <w:pPr>
            <w:pStyle w:val="Header"/>
            <w:jc w:val="center"/>
          </w:pPr>
          <w:r>
            <w:rPr>
              <w:noProof/>
            </w:rPr>
            <w:drawing>
              <wp:inline distT="0" distB="0" distL="0" distR="0" wp14:anchorId="33BF32CF" wp14:editId="04F5D306">
                <wp:extent cx="1090645" cy="419298"/>
                <wp:effectExtent l="0" t="0" r="1905" b="0"/>
                <wp:docPr id="1708473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7356" name="Picture 170847356"/>
                        <pic:cNvPicPr/>
                      </pic:nvPicPr>
                      <pic:blipFill>
                        <a:blip r:embed="rId3">
                          <a:extLst>
                            <a:ext uri="{28A0092B-C50C-407E-A947-70E740481C1C}">
                              <a14:useLocalDpi xmlns:a14="http://schemas.microsoft.com/office/drawing/2010/main" val="0"/>
                            </a:ext>
                          </a:extLst>
                        </a:blip>
                        <a:stretch>
                          <a:fillRect/>
                        </a:stretch>
                      </pic:blipFill>
                      <pic:spPr>
                        <a:xfrm>
                          <a:off x="0" y="0"/>
                          <a:ext cx="1141818" cy="438971"/>
                        </a:xfrm>
                        <a:prstGeom prst="rect">
                          <a:avLst/>
                        </a:prstGeom>
                      </pic:spPr>
                    </pic:pic>
                  </a:graphicData>
                </a:graphic>
              </wp:inline>
            </w:drawing>
          </w:r>
        </w:p>
      </w:tc>
    </w:tr>
  </w:tbl>
  <w:p w14:paraId="4563514B" w14:textId="77777777" w:rsidR="00287738" w:rsidRDefault="00287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4D4"/>
    <w:multiLevelType w:val="hybridMultilevel"/>
    <w:tmpl w:val="0102E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12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4"/>
    <w:rsid w:val="00016817"/>
    <w:rsid w:val="0002325D"/>
    <w:rsid w:val="00034520"/>
    <w:rsid w:val="000459FC"/>
    <w:rsid w:val="000561E5"/>
    <w:rsid w:val="000A1DF7"/>
    <w:rsid w:val="000A2272"/>
    <w:rsid w:val="000D3DB5"/>
    <w:rsid w:val="000E4424"/>
    <w:rsid w:val="000E5334"/>
    <w:rsid w:val="00100313"/>
    <w:rsid w:val="001330A9"/>
    <w:rsid w:val="00162A73"/>
    <w:rsid w:val="001C1A93"/>
    <w:rsid w:val="001D2DE5"/>
    <w:rsid w:val="00200CB5"/>
    <w:rsid w:val="00202BC5"/>
    <w:rsid w:val="00254510"/>
    <w:rsid w:val="00261F75"/>
    <w:rsid w:val="00287738"/>
    <w:rsid w:val="00292AF3"/>
    <w:rsid w:val="002937E6"/>
    <w:rsid w:val="002B18B0"/>
    <w:rsid w:val="002C3801"/>
    <w:rsid w:val="00315B4C"/>
    <w:rsid w:val="00335E96"/>
    <w:rsid w:val="00361B66"/>
    <w:rsid w:val="00362956"/>
    <w:rsid w:val="00364D18"/>
    <w:rsid w:val="00371AC5"/>
    <w:rsid w:val="0039195E"/>
    <w:rsid w:val="00397DFF"/>
    <w:rsid w:val="003A7C92"/>
    <w:rsid w:val="003B419D"/>
    <w:rsid w:val="003C32E1"/>
    <w:rsid w:val="003F213F"/>
    <w:rsid w:val="003F5E86"/>
    <w:rsid w:val="00405C57"/>
    <w:rsid w:val="0041764D"/>
    <w:rsid w:val="0045395A"/>
    <w:rsid w:val="0048353B"/>
    <w:rsid w:val="004A56DE"/>
    <w:rsid w:val="004B4966"/>
    <w:rsid w:val="004C3324"/>
    <w:rsid w:val="004D2E59"/>
    <w:rsid w:val="004E5533"/>
    <w:rsid w:val="00501793"/>
    <w:rsid w:val="005070EA"/>
    <w:rsid w:val="0051594C"/>
    <w:rsid w:val="005219B6"/>
    <w:rsid w:val="0053507F"/>
    <w:rsid w:val="005844D3"/>
    <w:rsid w:val="00595F9A"/>
    <w:rsid w:val="005C12B0"/>
    <w:rsid w:val="005D04D9"/>
    <w:rsid w:val="005D6597"/>
    <w:rsid w:val="005E19F0"/>
    <w:rsid w:val="006434F4"/>
    <w:rsid w:val="00690C05"/>
    <w:rsid w:val="006B0D36"/>
    <w:rsid w:val="006B708B"/>
    <w:rsid w:val="006E0BA6"/>
    <w:rsid w:val="00701A67"/>
    <w:rsid w:val="0073732C"/>
    <w:rsid w:val="00745D14"/>
    <w:rsid w:val="00756902"/>
    <w:rsid w:val="007D0A9C"/>
    <w:rsid w:val="00857C8D"/>
    <w:rsid w:val="0086549F"/>
    <w:rsid w:val="00871F59"/>
    <w:rsid w:val="008826D2"/>
    <w:rsid w:val="0088776E"/>
    <w:rsid w:val="008975CB"/>
    <w:rsid w:val="008C2F14"/>
    <w:rsid w:val="008C2FBF"/>
    <w:rsid w:val="008D6FD2"/>
    <w:rsid w:val="008E3175"/>
    <w:rsid w:val="008F06D8"/>
    <w:rsid w:val="008F0F0F"/>
    <w:rsid w:val="008F51B0"/>
    <w:rsid w:val="008F5C56"/>
    <w:rsid w:val="00904F62"/>
    <w:rsid w:val="0092233D"/>
    <w:rsid w:val="00922C49"/>
    <w:rsid w:val="0092358B"/>
    <w:rsid w:val="009D0F3F"/>
    <w:rsid w:val="009D7394"/>
    <w:rsid w:val="00A37D41"/>
    <w:rsid w:val="00A53A1E"/>
    <w:rsid w:val="00A60202"/>
    <w:rsid w:val="00A86A15"/>
    <w:rsid w:val="00AE3E77"/>
    <w:rsid w:val="00AE510D"/>
    <w:rsid w:val="00AE636C"/>
    <w:rsid w:val="00B60543"/>
    <w:rsid w:val="00B87DBB"/>
    <w:rsid w:val="00B91980"/>
    <w:rsid w:val="00BA505B"/>
    <w:rsid w:val="00BA7B22"/>
    <w:rsid w:val="00BD3158"/>
    <w:rsid w:val="00BD5A33"/>
    <w:rsid w:val="00BD700E"/>
    <w:rsid w:val="00C11DD3"/>
    <w:rsid w:val="00C14CE5"/>
    <w:rsid w:val="00C25470"/>
    <w:rsid w:val="00C3436A"/>
    <w:rsid w:val="00C46785"/>
    <w:rsid w:val="00C577CF"/>
    <w:rsid w:val="00C84683"/>
    <w:rsid w:val="00CD0F17"/>
    <w:rsid w:val="00CE2891"/>
    <w:rsid w:val="00D018A5"/>
    <w:rsid w:val="00D7722E"/>
    <w:rsid w:val="00DA2FC9"/>
    <w:rsid w:val="00DB1580"/>
    <w:rsid w:val="00DC147D"/>
    <w:rsid w:val="00DC33FB"/>
    <w:rsid w:val="00DD6AFB"/>
    <w:rsid w:val="00DE1085"/>
    <w:rsid w:val="00DE68B4"/>
    <w:rsid w:val="00E00D8B"/>
    <w:rsid w:val="00E1639E"/>
    <w:rsid w:val="00E17097"/>
    <w:rsid w:val="00E215B9"/>
    <w:rsid w:val="00E552F9"/>
    <w:rsid w:val="00E96468"/>
    <w:rsid w:val="00EA4CD8"/>
    <w:rsid w:val="00EB1770"/>
    <w:rsid w:val="00EC1E7F"/>
    <w:rsid w:val="00EC4B3C"/>
    <w:rsid w:val="00EE303F"/>
    <w:rsid w:val="00EF2933"/>
    <w:rsid w:val="00EF7831"/>
    <w:rsid w:val="00F113D9"/>
    <w:rsid w:val="00F75789"/>
    <w:rsid w:val="00FA1286"/>
    <w:rsid w:val="00FC60D3"/>
    <w:rsid w:val="00FF557B"/>
    <w:rsid w:val="00FF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BB64"/>
  <w15:chartTrackingRefBased/>
  <w15:docId w15:val="{BB992387-72BB-284F-AF1B-F0B680B8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8B4"/>
    <w:rPr>
      <w:rFonts w:ascii="Times New Roman" w:hAnsi="Times New Roman"/>
    </w:rPr>
  </w:style>
  <w:style w:type="paragraph" w:styleId="Heading1">
    <w:name w:val="heading 1"/>
    <w:basedOn w:val="Normal"/>
    <w:next w:val="Normal"/>
    <w:link w:val="Heading1Char"/>
    <w:uiPriority w:val="9"/>
    <w:qFormat/>
    <w:rsid w:val="008C2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F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F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C2F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2F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2F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2F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2F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F14"/>
    <w:rPr>
      <w:rFonts w:eastAsiaTheme="majorEastAsia" w:cstheme="majorBidi"/>
      <w:color w:val="272727" w:themeColor="text1" w:themeTint="D8"/>
    </w:rPr>
  </w:style>
  <w:style w:type="paragraph" w:styleId="Title">
    <w:name w:val="Title"/>
    <w:basedOn w:val="Normal"/>
    <w:next w:val="Normal"/>
    <w:link w:val="TitleChar"/>
    <w:uiPriority w:val="10"/>
    <w:qFormat/>
    <w:rsid w:val="008C2F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F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2F14"/>
    <w:rPr>
      <w:rFonts w:ascii="Times New Roman" w:hAnsi="Times New Roman"/>
      <w:i/>
      <w:iCs/>
      <w:color w:val="404040" w:themeColor="text1" w:themeTint="BF"/>
    </w:rPr>
  </w:style>
  <w:style w:type="paragraph" w:styleId="ListParagraph">
    <w:name w:val="List Paragraph"/>
    <w:basedOn w:val="Normal"/>
    <w:uiPriority w:val="34"/>
    <w:qFormat/>
    <w:rsid w:val="008C2F14"/>
    <w:pPr>
      <w:ind w:left="720"/>
      <w:contextualSpacing/>
    </w:pPr>
  </w:style>
  <w:style w:type="character" w:styleId="IntenseEmphasis">
    <w:name w:val="Intense Emphasis"/>
    <w:basedOn w:val="DefaultParagraphFont"/>
    <w:uiPriority w:val="21"/>
    <w:qFormat/>
    <w:rsid w:val="008C2F14"/>
    <w:rPr>
      <w:i/>
      <w:iCs/>
      <w:color w:val="0F4761" w:themeColor="accent1" w:themeShade="BF"/>
    </w:rPr>
  </w:style>
  <w:style w:type="paragraph" w:styleId="IntenseQuote">
    <w:name w:val="Intense Quote"/>
    <w:basedOn w:val="Normal"/>
    <w:next w:val="Normal"/>
    <w:link w:val="IntenseQuoteChar"/>
    <w:uiPriority w:val="30"/>
    <w:qFormat/>
    <w:rsid w:val="008C2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F14"/>
    <w:rPr>
      <w:rFonts w:ascii="Times New Roman" w:hAnsi="Times New Roman"/>
      <w:i/>
      <w:iCs/>
      <w:color w:val="0F4761" w:themeColor="accent1" w:themeShade="BF"/>
    </w:rPr>
  </w:style>
  <w:style w:type="character" w:styleId="IntenseReference">
    <w:name w:val="Intense Reference"/>
    <w:basedOn w:val="DefaultParagraphFont"/>
    <w:uiPriority w:val="32"/>
    <w:qFormat/>
    <w:rsid w:val="008C2F14"/>
    <w:rPr>
      <w:b/>
      <w:bCs/>
      <w:smallCaps/>
      <w:color w:val="0F4761" w:themeColor="accent1" w:themeShade="BF"/>
      <w:spacing w:val="5"/>
    </w:rPr>
  </w:style>
  <w:style w:type="character" w:styleId="Hyperlink">
    <w:name w:val="Hyperlink"/>
    <w:basedOn w:val="DefaultParagraphFont"/>
    <w:uiPriority w:val="99"/>
    <w:unhideWhenUsed/>
    <w:rsid w:val="000561E5"/>
    <w:rPr>
      <w:color w:val="467886" w:themeColor="hyperlink"/>
      <w:u w:val="single"/>
    </w:rPr>
  </w:style>
  <w:style w:type="character" w:styleId="UnresolvedMention">
    <w:name w:val="Unresolved Mention"/>
    <w:basedOn w:val="DefaultParagraphFont"/>
    <w:uiPriority w:val="99"/>
    <w:semiHidden/>
    <w:unhideWhenUsed/>
    <w:rsid w:val="000561E5"/>
    <w:rPr>
      <w:color w:val="605E5C"/>
      <w:shd w:val="clear" w:color="auto" w:fill="E1DFDD"/>
    </w:rPr>
  </w:style>
  <w:style w:type="paragraph" w:styleId="NormalWeb">
    <w:name w:val="Normal (Web)"/>
    <w:basedOn w:val="Normal"/>
    <w:uiPriority w:val="99"/>
    <w:unhideWhenUsed/>
    <w:rsid w:val="000561E5"/>
    <w:pPr>
      <w:spacing w:before="100" w:beforeAutospacing="1" w:after="100" w:afterAutospacing="1"/>
    </w:pPr>
    <w:rPr>
      <w:rFonts w:eastAsia="Times New Roman" w:cs="Times New Roman"/>
      <w:kern w:val="0"/>
      <w14:ligatures w14:val="none"/>
    </w:rPr>
  </w:style>
  <w:style w:type="character" w:styleId="Strong">
    <w:name w:val="Strong"/>
    <w:basedOn w:val="DefaultParagraphFont"/>
    <w:uiPriority w:val="22"/>
    <w:qFormat/>
    <w:rsid w:val="000561E5"/>
    <w:rPr>
      <w:b/>
      <w:bCs/>
    </w:rPr>
  </w:style>
  <w:style w:type="paragraph" w:styleId="Revision">
    <w:name w:val="Revision"/>
    <w:hidden/>
    <w:uiPriority w:val="99"/>
    <w:semiHidden/>
    <w:rsid w:val="00C3436A"/>
    <w:rPr>
      <w:rFonts w:ascii="Times New Roman" w:hAnsi="Times New Roman"/>
    </w:rPr>
  </w:style>
  <w:style w:type="table" w:styleId="TableGrid">
    <w:name w:val="Table Grid"/>
    <w:basedOn w:val="TableNormal"/>
    <w:uiPriority w:val="39"/>
    <w:rsid w:val="0059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56DE"/>
    <w:rPr>
      <w:sz w:val="16"/>
      <w:szCs w:val="16"/>
    </w:rPr>
  </w:style>
  <w:style w:type="paragraph" w:styleId="CommentText">
    <w:name w:val="annotation text"/>
    <w:basedOn w:val="Normal"/>
    <w:link w:val="CommentTextChar"/>
    <w:uiPriority w:val="99"/>
    <w:unhideWhenUsed/>
    <w:rsid w:val="004A56DE"/>
    <w:rPr>
      <w:sz w:val="20"/>
      <w:szCs w:val="20"/>
    </w:rPr>
  </w:style>
  <w:style w:type="character" w:customStyle="1" w:styleId="CommentTextChar">
    <w:name w:val="Comment Text Char"/>
    <w:basedOn w:val="DefaultParagraphFont"/>
    <w:link w:val="CommentText"/>
    <w:uiPriority w:val="99"/>
    <w:rsid w:val="004A56D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A56DE"/>
    <w:rPr>
      <w:b/>
      <w:bCs/>
    </w:rPr>
  </w:style>
  <w:style w:type="character" w:customStyle="1" w:styleId="CommentSubjectChar">
    <w:name w:val="Comment Subject Char"/>
    <w:basedOn w:val="CommentTextChar"/>
    <w:link w:val="CommentSubject"/>
    <w:uiPriority w:val="99"/>
    <w:semiHidden/>
    <w:rsid w:val="004A56DE"/>
    <w:rPr>
      <w:rFonts w:ascii="Times New Roman" w:hAnsi="Times New Roman"/>
      <w:b/>
      <w:bCs/>
      <w:sz w:val="20"/>
      <w:szCs w:val="20"/>
    </w:rPr>
  </w:style>
  <w:style w:type="paragraph" w:customStyle="1" w:styleId="s3">
    <w:name w:val="s3"/>
    <w:basedOn w:val="Normal"/>
    <w:rsid w:val="0041764D"/>
    <w:pPr>
      <w:spacing w:before="100" w:beforeAutospacing="1" w:after="100" w:afterAutospacing="1"/>
    </w:pPr>
    <w:rPr>
      <w:rFonts w:eastAsia="Times New Roman" w:cs="Times New Roman"/>
      <w:kern w:val="0"/>
      <w14:ligatures w14:val="none"/>
    </w:rPr>
  </w:style>
  <w:style w:type="character" w:customStyle="1" w:styleId="s9">
    <w:name w:val="s9"/>
    <w:basedOn w:val="DefaultParagraphFont"/>
    <w:rsid w:val="0041764D"/>
  </w:style>
  <w:style w:type="paragraph" w:styleId="Header">
    <w:name w:val="header"/>
    <w:basedOn w:val="Normal"/>
    <w:link w:val="HeaderChar"/>
    <w:uiPriority w:val="99"/>
    <w:unhideWhenUsed/>
    <w:rsid w:val="0045395A"/>
    <w:pPr>
      <w:tabs>
        <w:tab w:val="center" w:pos="4680"/>
        <w:tab w:val="right" w:pos="9360"/>
      </w:tabs>
    </w:pPr>
  </w:style>
  <w:style w:type="character" w:customStyle="1" w:styleId="HeaderChar">
    <w:name w:val="Header Char"/>
    <w:basedOn w:val="DefaultParagraphFont"/>
    <w:link w:val="Header"/>
    <w:uiPriority w:val="99"/>
    <w:rsid w:val="0045395A"/>
    <w:rPr>
      <w:rFonts w:ascii="Times New Roman" w:hAnsi="Times New Roman"/>
    </w:rPr>
  </w:style>
  <w:style w:type="paragraph" w:styleId="Footer">
    <w:name w:val="footer"/>
    <w:basedOn w:val="Normal"/>
    <w:link w:val="FooterChar"/>
    <w:uiPriority w:val="99"/>
    <w:unhideWhenUsed/>
    <w:rsid w:val="0045395A"/>
    <w:pPr>
      <w:tabs>
        <w:tab w:val="center" w:pos="4680"/>
        <w:tab w:val="right" w:pos="9360"/>
      </w:tabs>
    </w:pPr>
  </w:style>
  <w:style w:type="character" w:customStyle="1" w:styleId="FooterChar">
    <w:name w:val="Footer Char"/>
    <w:basedOn w:val="DefaultParagraphFont"/>
    <w:link w:val="Footer"/>
    <w:uiPriority w:val="99"/>
    <w:rsid w:val="0045395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75312">
      <w:bodyDiv w:val="1"/>
      <w:marLeft w:val="0"/>
      <w:marRight w:val="0"/>
      <w:marTop w:val="0"/>
      <w:marBottom w:val="0"/>
      <w:divBdr>
        <w:top w:val="none" w:sz="0" w:space="0" w:color="auto"/>
        <w:left w:val="none" w:sz="0" w:space="0" w:color="auto"/>
        <w:bottom w:val="none" w:sz="0" w:space="0" w:color="auto"/>
        <w:right w:val="none" w:sz="0" w:space="0" w:color="auto"/>
      </w:divBdr>
    </w:div>
    <w:div w:id="129279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ustrialbankers.org/s/NAIBvODay_061526Filing.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2B998-200B-4767-8E47-8F28D3C69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892</Words>
  <Characters>4337</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Ricci</dc:creator>
  <cp:keywords/>
  <dc:description/>
  <cp:lastModifiedBy>Andrew Ricci</cp:lastModifiedBy>
  <cp:revision>3</cp:revision>
  <cp:lastPrinted>2026-05-18T15:36:00Z</cp:lastPrinted>
  <dcterms:created xsi:type="dcterms:W3CDTF">2026-06-15T18:22:00Z</dcterms:created>
  <dcterms:modified xsi:type="dcterms:W3CDTF">2026-06-15T18:25:00Z</dcterms:modified>
</cp:coreProperties>
</file>