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5922" w14:textId="77777777" w:rsidR="00900A85" w:rsidRDefault="00900A85" w:rsidP="00900A85">
      <w:r>
        <w:t>September 19, 2023</w:t>
      </w:r>
    </w:p>
    <w:p w14:paraId="742E6862" w14:textId="77777777" w:rsidR="00900A85" w:rsidRDefault="00900A85" w:rsidP="00900A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0A85" w14:paraId="48FB7EBA" w14:textId="77777777" w:rsidTr="00ED6FD4">
        <w:tc>
          <w:tcPr>
            <w:tcW w:w="4675" w:type="dxa"/>
          </w:tcPr>
          <w:p w14:paraId="33675B55" w14:textId="77777777" w:rsidR="00900A85" w:rsidRDefault="00900A85" w:rsidP="00ED6FD4">
            <w:pPr>
              <w:rPr>
                <w:rFonts w:ascii="Times New Roman" w:hAnsi="Times New Roman" w:cs="Times New Roman"/>
              </w:rPr>
            </w:pPr>
            <w:r>
              <w:rPr>
                <w:rFonts w:ascii="Times New Roman" w:hAnsi="Times New Roman" w:cs="Times New Roman"/>
              </w:rPr>
              <w:t>The Hon. Andy Barr</w:t>
            </w:r>
          </w:p>
          <w:p w14:paraId="1F279CBB" w14:textId="77777777" w:rsidR="00900A85" w:rsidRDefault="00900A85" w:rsidP="00ED6FD4">
            <w:pPr>
              <w:rPr>
                <w:rFonts w:ascii="Times New Roman" w:hAnsi="Times New Roman" w:cs="Times New Roman"/>
              </w:rPr>
            </w:pPr>
            <w:r>
              <w:rPr>
                <w:rFonts w:ascii="Times New Roman" w:hAnsi="Times New Roman" w:cs="Times New Roman"/>
              </w:rPr>
              <w:t>Chair</w:t>
            </w:r>
          </w:p>
          <w:p w14:paraId="4DB46509" w14:textId="77777777" w:rsidR="00900A85" w:rsidRDefault="00900A85" w:rsidP="00ED6FD4">
            <w:pPr>
              <w:rPr>
                <w:rFonts w:ascii="Times New Roman" w:hAnsi="Times New Roman" w:cs="Times New Roman"/>
              </w:rPr>
            </w:pPr>
            <w:r w:rsidRPr="005F0C6D">
              <w:rPr>
                <w:rFonts w:ascii="Times New Roman" w:hAnsi="Times New Roman" w:cs="Times New Roman"/>
              </w:rPr>
              <w:t>Subcommittee on Financial Institutions and Monetary Policy</w:t>
            </w:r>
          </w:p>
          <w:p w14:paraId="1C94DF77" w14:textId="77777777" w:rsidR="00900A85" w:rsidRDefault="00900A85" w:rsidP="00ED6FD4">
            <w:pPr>
              <w:rPr>
                <w:rFonts w:ascii="Times New Roman" w:hAnsi="Times New Roman" w:cs="Times New Roman"/>
              </w:rPr>
            </w:pPr>
            <w:r w:rsidRPr="26032705">
              <w:rPr>
                <w:rFonts w:ascii="Times New Roman" w:hAnsi="Times New Roman" w:cs="Times New Roman"/>
              </w:rPr>
              <w:t xml:space="preserve"> Washington, DC 20515</w:t>
            </w:r>
          </w:p>
        </w:tc>
        <w:tc>
          <w:tcPr>
            <w:tcW w:w="4675" w:type="dxa"/>
          </w:tcPr>
          <w:p w14:paraId="164D9FDD" w14:textId="77777777" w:rsidR="00900A85" w:rsidRDefault="00900A85" w:rsidP="00ED6FD4">
            <w:pPr>
              <w:rPr>
                <w:rFonts w:ascii="Times New Roman" w:hAnsi="Times New Roman" w:cs="Times New Roman"/>
              </w:rPr>
            </w:pPr>
            <w:r>
              <w:rPr>
                <w:rFonts w:ascii="Times New Roman" w:hAnsi="Times New Roman" w:cs="Times New Roman"/>
              </w:rPr>
              <w:t>The Hon. Bill Foster</w:t>
            </w:r>
          </w:p>
          <w:p w14:paraId="3AFAADA3" w14:textId="77777777" w:rsidR="00900A85" w:rsidRDefault="00900A85" w:rsidP="00ED6FD4">
            <w:pPr>
              <w:rPr>
                <w:rFonts w:ascii="Times New Roman" w:hAnsi="Times New Roman" w:cs="Times New Roman"/>
              </w:rPr>
            </w:pPr>
            <w:r>
              <w:rPr>
                <w:rFonts w:ascii="Times New Roman" w:hAnsi="Times New Roman" w:cs="Times New Roman"/>
              </w:rPr>
              <w:t>Ranking Member</w:t>
            </w:r>
          </w:p>
          <w:p w14:paraId="3DE42393" w14:textId="77777777" w:rsidR="00900A85" w:rsidRDefault="00900A85" w:rsidP="00ED6FD4">
            <w:pPr>
              <w:rPr>
                <w:rFonts w:ascii="Times New Roman" w:hAnsi="Times New Roman" w:cs="Times New Roman"/>
              </w:rPr>
            </w:pPr>
            <w:r w:rsidRPr="005F0C6D">
              <w:rPr>
                <w:rFonts w:ascii="Times New Roman" w:hAnsi="Times New Roman" w:cs="Times New Roman"/>
              </w:rPr>
              <w:t>Subcommittee on Financial Institutions and Monetary Policy</w:t>
            </w:r>
          </w:p>
          <w:p w14:paraId="7435A4AD" w14:textId="77777777" w:rsidR="00900A85" w:rsidRDefault="00900A85" w:rsidP="00ED6FD4">
            <w:pPr>
              <w:rPr>
                <w:rFonts w:ascii="Times New Roman" w:hAnsi="Times New Roman" w:cs="Times New Roman"/>
              </w:rPr>
            </w:pPr>
            <w:r w:rsidRPr="26032705">
              <w:rPr>
                <w:rFonts w:ascii="Times New Roman" w:hAnsi="Times New Roman" w:cs="Times New Roman"/>
              </w:rPr>
              <w:t>Washington, DC 20515</w:t>
            </w:r>
          </w:p>
        </w:tc>
      </w:tr>
    </w:tbl>
    <w:p w14:paraId="73398567" w14:textId="77777777" w:rsidR="00900A85" w:rsidRDefault="00900A85" w:rsidP="00900A85"/>
    <w:p w14:paraId="00BFA679" w14:textId="77777777" w:rsidR="00900A85" w:rsidRPr="00F604AC" w:rsidRDefault="00900A85" w:rsidP="00900A85">
      <w:pPr>
        <w:ind w:left="1440" w:hanging="720"/>
        <w:rPr>
          <w:b/>
          <w:bCs/>
          <w:i/>
          <w:iCs/>
        </w:rPr>
      </w:pPr>
      <w:r w:rsidRPr="00F604AC">
        <w:rPr>
          <w:b/>
          <w:bCs/>
          <w:i/>
          <w:iCs/>
        </w:rPr>
        <w:t>Re:</w:t>
      </w:r>
      <w:r w:rsidRPr="00F604AC">
        <w:rPr>
          <w:b/>
          <w:bCs/>
          <w:i/>
          <w:iCs/>
        </w:rPr>
        <w:tab/>
        <w:t>A Holistic Review of Regulators: Regulatory Overreach and Economic Consequences</w:t>
      </w:r>
    </w:p>
    <w:p w14:paraId="536232B8" w14:textId="77777777" w:rsidR="00900A85" w:rsidRDefault="00900A85" w:rsidP="00900A85"/>
    <w:p w14:paraId="7940909D" w14:textId="77777777" w:rsidR="00900A85" w:rsidRDefault="00900A85" w:rsidP="00900A85">
      <w:r w:rsidRPr="00B169D6">
        <w:t xml:space="preserve">Dear </w:t>
      </w:r>
      <w:r>
        <w:t>Chairman Barr and Ranking Member Foster:</w:t>
      </w:r>
    </w:p>
    <w:p w14:paraId="3CF8BF30" w14:textId="77777777" w:rsidR="00900A85" w:rsidRDefault="00900A85" w:rsidP="00900A85"/>
    <w:p w14:paraId="2DCB5A7F" w14:textId="3646ECB2" w:rsidR="00900A85" w:rsidRDefault="00900A85" w:rsidP="00900A85">
      <w:pPr>
        <w:jc w:val="both"/>
      </w:pPr>
      <w:r w:rsidRPr="26032705">
        <w:t xml:space="preserve">Thank you for holding this important hearing on the economic consequences of regulatory overreach. </w:t>
      </w:r>
      <w:r w:rsidR="00D7521C" w:rsidRPr="00D7521C">
        <w:t>The American Financial Services Association (“AFSA”)</w:t>
      </w:r>
      <w:r w:rsidR="00D7521C">
        <w:rPr>
          <w:rStyle w:val="FootnoteReference"/>
        </w:rPr>
        <w:footnoteReference w:id="1"/>
      </w:r>
      <w:r w:rsidR="00D7521C" w:rsidRPr="00D7521C">
        <w:t xml:space="preserve">  </w:t>
      </w:r>
      <w:r w:rsidRPr="26032705">
        <w:t>understand</w:t>
      </w:r>
      <w:r w:rsidR="00607FA9">
        <w:t>s</w:t>
      </w:r>
      <w:r w:rsidRPr="26032705">
        <w:t xml:space="preserve"> the focus of the hearing is explor</w:t>
      </w:r>
      <w:r>
        <w:t xml:space="preserve">ing </w:t>
      </w:r>
      <w:r w:rsidRPr="26032705">
        <w:t xml:space="preserve">the interaction and economic impact of the Federal banking agencies’ recent regulatory proposals. As the Subcommittee engages in its holistic assessment of the combined impacts of the recent significant federal banking </w:t>
      </w:r>
      <w:proofErr w:type="spellStart"/>
      <w:r w:rsidRPr="26032705">
        <w:t>regulatory</w:t>
      </w:r>
      <w:proofErr w:type="spellEnd"/>
      <w:r w:rsidRPr="26032705">
        <w:t xml:space="preserve"> proposals on financial stability, the U.S. economy, and American consumers, businesses, and families, we ask that it include in its impact assessment recent actions by the Consumer Financial Protection Bureau (CFPB) as well. </w:t>
      </w:r>
      <w:r>
        <w:t xml:space="preserve"> </w:t>
      </w:r>
      <w:r w:rsidRPr="26032705">
        <w:t xml:space="preserve">The </w:t>
      </w:r>
      <w:r w:rsidR="00B55F2D">
        <w:t>CFPB’s</w:t>
      </w:r>
      <w:r w:rsidR="00B55F2D" w:rsidRPr="26032705">
        <w:t xml:space="preserve"> </w:t>
      </w:r>
      <w:r w:rsidRPr="26032705">
        <w:t xml:space="preserve">actions continue to have a significant impact on the banking system and the American economy overall. </w:t>
      </w:r>
    </w:p>
    <w:p w14:paraId="6D5B8D9B" w14:textId="77777777" w:rsidR="00900A85" w:rsidRDefault="00900A85" w:rsidP="00900A85">
      <w:pPr>
        <w:jc w:val="both"/>
      </w:pPr>
    </w:p>
    <w:p w14:paraId="6C545A7C" w14:textId="50CA1218" w:rsidR="00900A85" w:rsidRDefault="00900A85" w:rsidP="00900A85">
      <w:pPr>
        <w:jc w:val="both"/>
      </w:pPr>
      <w:r w:rsidRPr="26032705">
        <w:t>Previously, in March, this subcommittee held a hearing on the CFPB. Since that hearing, however, the CFPB has</w:t>
      </w:r>
      <w:r>
        <w:t xml:space="preserve"> </w:t>
      </w:r>
      <w:r w:rsidRPr="26032705">
        <w:t>released a new policy statement that it already is using in enforcement actions – the Policy Statement on Abusive Acts and Practices.</w:t>
      </w:r>
      <w:r w:rsidR="006010C0">
        <w:rPr>
          <w:rStyle w:val="FootnoteReference"/>
        </w:rPr>
        <w:footnoteReference w:id="2"/>
      </w:r>
      <w:r w:rsidRPr="26032705">
        <w:t xml:space="preserve"> This policy statement applies to all financial institutions under the CFPB’s jurisdiction, including banks.</w:t>
      </w:r>
    </w:p>
    <w:p w14:paraId="7B202587" w14:textId="77777777" w:rsidR="00900A85" w:rsidRDefault="00900A85" w:rsidP="00900A85">
      <w:pPr>
        <w:jc w:val="both"/>
      </w:pPr>
    </w:p>
    <w:p w14:paraId="1B4CAE32" w14:textId="77777777" w:rsidR="00900A85" w:rsidRPr="00CA0896" w:rsidRDefault="00900A85" w:rsidP="00900A85">
      <w:pPr>
        <w:jc w:val="both"/>
      </w:pPr>
      <w:r>
        <w:t>The Policy Statement holds</w:t>
      </w:r>
      <w:r w:rsidRPr="00CA0896">
        <w:t xml:space="preserve"> that the following could be considered abusive:</w:t>
      </w:r>
    </w:p>
    <w:p w14:paraId="67C37B45" w14:textId="77777777" w:rsidR="00900A85" w:rsidRPr="00CA0896" w:rsidRDefault="00900A85" w:rsidP="00900A85">
      <w:pPr>
        <w:jc w:val="both"/>
      </w:pPr>
    </w:p>
    <w:p w14:paraId="515CEE5E"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Fine print and complex </w:t>
      </w:r>
      <w:proofErr w:type="gramStart"/>
      <w:r w:rsidRPr="00EE61DB">
        <w:rPr>
          <w:rFonts w:ascii="Times New Roman" w:hAnsi="Times New Roman" w:cs="Times New Roman"/>
          <w:sz w:val="24"/>
          <w:szCs w:val="24"/>
        </w:rPr>
        <w:t>language;</w:t>
      </w:r>
      <w:proofErr w:type="gramEnd"/>
    </w:p>
    <w:p w14:paraId="75315FFE"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Form </w:t>
      </w:r>
      <w:proofErr w:type="gramStart"/>
      <w:r w:rsidRPr="00EE61DB">
        <w:rPr>
          <w:rFonts w:ascii="Times New Roman" w:hAnsi="Times New Roman" w:cs="Times New Roman"/>
          <w:sz w:val="24"/>
          <w:szCs w:val="24"/>
        </w:rPr>
        <w:t>contracts;</w:t>
      </w:r>
      <w:proofErr w:type="gramEnd"/>
    </w:p>
    <w:p w14:paraId="023C76EF"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Pop-ups or drop-down </w:t>
      </w:r>
      <w:proofErr w:type="gramStart"/>
      <w:r w:rsidRPr="00EE61DB">
        <w:rPr>
          <w:rFonts w:ascii="Times New Roman" w:hAnsi="Times New Roman" w:cs="Times New Roman"/>
          <w:sz w:val="24"/>
          <w:szCs w:val="24"/>
        </w:rPr>
        <w:t>boxes;</w:t>
      </w:r>
      <w:proofErr w:type="gramEnd"/>
    </w:p>
    <w:p w14:paraId="64AB526A"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Multiple click-</w:t>
      </w:r>
      <w:proofErr w:type="gramStart"/>
      <w:r w:rsidRPr="00EE61DB">
        <w:rPr>
          <w:rFonts w:ascii="Times New Roman" w:hAnsi="Times New Roman" w:cs="Times New Roman"/>
          <w:sz w:val="24"/>
          <w:szCs w:val="24"/>
        </w:rPr>
        <w:t>throughs;</w:t>
      </w:r>
      <w:proofErr w:type="gramEnd"/>
    </w:p>
    <w:p w14:paraId="1B859111"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If a consumer doesn’t benefit from a product or </w:t>
      </w:r>
      <w:proofErr w:type="gramStart"/>
      <w:r w:rsidRPr="00EE61DB">
        <w:rPr>
          <w:rFonts w:ascii="Times New Roman" w:hAnsi="Times New Roman" w:cs="Times New Roman"/>
          <w:sz w:val="24"/>
          <w:szCs w:val="24"/>
        </w:rPr>
        <w:t>service;</w:t>
      </w:r>
      <w:proofErr w:type="gramEnd"/>
    </w:p>
    <w:p w14:paraId="6E1AFA83"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Complicated </w:t>
      </w:r>
      <w:proofErr w:type="gramStart"/>
      <w:r w:rsidRPr="00EE61DB">
        <w:rPr>
          <w:rFonts w:ascii="Times New Roman" w:hAnsi="Times New Roman" w:cs="Times New Roman"/>
          <w:sz w:val="24"/>
          <w:szCs w:val="24"/>
        </w:rPr>
        <w:t>products;</w:t>
      </w:r>
      <w:proofErr w:type="gramEnd"/>
    </w:p>
    <w:p w14:paraId="1C095C6B"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If an entity benefits from “increased market share, revenue, cost savings, profits, reputational benefits, and other operational benefits</w:t>
      </w:r>
      <w:proofErr w:type="gramStart"/>
      <w:r>
        <w:rPr>
          <w:rFonts w:ascii="Times New Roman" w:hAnsi="Times New Roman" w:cs="Times New Roman"/>
          <w:sz w:val="24"/>
          <w:szCs w:val="24"/>
        </w:rPr>
        <w:t>”;</w:t>
      </w:r>
      <w:proofErr w:type="gramEnd"/>
    </w:p>
    <w:p w14:paraId="2E2B2CD8"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“Negative consumer outcomes</w:t>
      </w:r>
      <w:proofErr w:type="gramStart"/>
      <w:r w:rsidRPr="00EE61DB">
        <w:rPr>
          <w:rFonts w:ascii="Times New Roman" w:hAnsi="Times New Roman" w:cs="Times New Roman"/>
          <w:sz w:val="24"/>
          <w:szCs w:val="24"/>
        </w:rPr>
        <w:t>”</w:t>
      </w:r>
      <w:r>
        <w:rPr>
          <w:rFonts w:ascii="Times New Roman" w:hAnsi="Times New Roman" w:cs="Times New Roman"/>
          <w:sz w:val="24"/>
          <w:szCs w:val="24"/>
        </w:rPr>
        <w:t>;</w:t>
      </w:r>
      <w:proofErr w:type="gramEnd"/>
    </w:p>
    <w:p w14:paraId="4964283E"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lastRenderedPageBreak/>
        <w:t>A consumer having “unequal bargaining power</w:t>
      </w:r>
      <w:proofErr w:type="gramStart"/>
      <w:r w:rsidRPr="00EE61DB">
        <w:rPr>
          <w:rFonts w:ascii="Times New Roman" w:hAnsi="Times New Roman" w:cs="Times New Roman"/>
          <w:sz w:val="24"/>
          <w:szCs w:val="24"/>
        </w:rPr>
        <w:t>”</w:t>
      </w:r>
      <w:r>
        <w:rPr>
          <w:rFonts w:ascii="Times New Roman" w:hAnsi="Times New Roman" w:cs="Times New Roman"/>
          <w:sz w:val="24"/>
          <w:szCs w:val="24"/>
        </w:rPr>
        <w:t>;</w:t>
      </w:r>
      <w:proofErr w:type="gramEnd"/>
    </w:p>
    <w:p w14:paraId="2268C132"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Gaps in understanding, which are risks, which include </w:t>
      </w:r>
      <w:proofErr w:type="gramStart"/>
      <w:r w:rsidRPr="00EE61DB">
        <w:rPr>
          <w:rFonts w:ascii="Times New Roman" w:hAnsi="Times New Roman" w:cs="Times New Roman"/>
          <w:sz w:val="24"/>
          <w:szCs w:val="24"/>
        </w:rPr>
        <w:t>default;</w:t>
      </w:r>
      <w:proofErr w:type="gramEnd"/>
    </w:p>
    <w:p w14:paraId="27C85982"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A product or service the consumer complains </w:t>
      </w:r>
      <w:proofErr w:type="gramStart"/>
      <w:r w:rsidRPr="00EE61DB">
        <w:rPr>
          <w:rFonts w:ascii="Times New Roman" w:hAnsi="Times New Roman" w:cs="Times New Roman"/>
          <w:sz w:val="24"/>
          <w:szCs w:val="24"/>
        </w:rPr>
        <w:t>about;</w:t>
      </w:r>
      <w:proofErr w:type="gramEnd"/>
    </w:p>
    <w:p w14:paraId="4C1E887F"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Anything a consumer says is </w:t>
      </w:r>
      <w:proofErr w:type="gramStart"/>
      <w:r w:rsidRPr="00EE61DB">
        <w:rPr>
          <w:rFonts w:ascii="Times New Roman" w:hAnsi="Times New Roman" w:cs="Times New Roman"/>
          <w:sz w:val="24"/>
          <w:szCs w:val="24"/>
        </w:rPr>
        <w:t>abusive;</w:t>
      </w:r>
      <w:proofErr w:type="gramEnd"/>
    </w:p>
    <w:p w14:paraId="4A6759C9"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Risky </w:t>
      </w:r>
      <w:proofErr w:type="gramStart"/>
      <w:r w:rsidRPr="00EE61DB">
        <w:rPr>
          <w:rFonts w:ascii="Times New Roman" w:hAnsi="Times New Roman" w:cs="Times New Roman"/>
          <w:sz w:val="24"/>
          <w:szCs w:val="24"/>
        </w:rPr>
        <w:t>transactions;</w:t>
      </w:r>
      <w:proofErr w:type="gramEnd"/>
    </w:p>
    <w:p w14:paraId="79EC5234"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If it takes too long to obtain the consumer financial product or </w:t>
      </w:r>
      <w:proofErr w:type="gramStart"/>
      <w:r w:rsidRPr="00EE61DB">
        <w:rPr>
          <w:rFonts w:ascii="Times New Roman" w:hAnsi="Times New Roman" w:cs="Times New Roman"/>
          <w:sz w:val="24"/>
          <w:szCs w:val="24"/>
        </w:rPr>
        <w:t>service;</w:t>
      </w:r>
      <w:proofErr w:type="gramEnd"/>
    </w:p>
    <w:p w14:paraId="7A1A7B17"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Customer support taking too </w:t>
      </w:r>
      <w:proofErr w:type="gramStart"/>
      <w:r w:rsidRPr="00EE61DB">
        <w:rPr>
          <w:rFonts w:ascii="Times New Roman" w:hAnsi="Times New Roman" w:cs="Times New Roman"/>
          <w:sz w:val="24"/>
          <w:szCs w:val="24"/>
        </w:rPr>
        <w:t>long;</w:t>
      </w:r>
      <w:proofErr w:type="gramEnd"/>
    </w:p>
    <w:p w14:paraId="64F11844"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A consumer having to spend </w:t>
      </w:r>
      <w:proofErr w:type="gramStart"/>
      <w:r w:rsidRPr="00EE61DB">
        <w:rPr>
          <w:rFonts w:ascii="Times New Roman" w:hAnsi="Times New Roman" w:cs="Times New Roman"/>
          <w:sz w:val="24"/>
          <w:szCs w:val="24"/>
        </w:rPr>
        <w:t>money;</w:t>
      </w:r>
      <w:proofErr w:type="gramEnd"/>
    </w:p>
    <w:p w14:paraId="103CCCBC"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 xml:space="preserve">Servicing (when a customer cannot select the servicer), including credit reporting companies, debt collectors, and third-party loan </w:t>
      </w:r>
      <w:proofErr w:type="gramStart"/>
      <w:r w:rsidRPr="00EE61DB">
        <w:rPr>
          <w:rFonts w:ascii="Times New Roman" w:hAnsi="Times New Roman" w:cs="Times New Roman"/>
          <w:sz w:val="24"/>
          <w:szCs w:val="24"/>
        </w:rPr>
        <w:t>servicers;</w:t>
      </w:r>
      <w:proofErr w:type="gramEnd"/>
    </w:p>
    <w:p w14:paraId="07870E95"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proofErr w:type="gramStart"/>
      <w:r w:rsidRPr="00EE61DB">
        <w:rPr>
          <w:rFonts w:ascii="Times New Roman" w:hAnsi="Times New Roman" w:cs="Times New Roman"/>
          <w:sz w:val="24"/>
          <w:szCs w:val="24"/>
        </w:rPr>
        <w:t>Arbitration;</w:t>
      </w:r>
      <w:proofErr w:type="gramEnd"/>
    </w:p>
    <w:p w14:paraId="63472C24"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Large companies; and</w:t>
      </w:r>
    </w:p>
    <w:p w14:paraId="3C753BE4" w14:textId="77777777" w:rsidR="00900A85" w:rsidRPr="00EE61DB" w:rsidRDefault="00900A85" w:rsidP="00900A85">
      <w:pPr>
        <w:pStyle w:val="ListParagraph"/>
        <w:numPr>
          <w:ilvl w:val="0"/>
          <w:numId w:val="6"/>
        </w:numPr>
        <w:spacing w:after="0" w:line="240" w:lineRule="auto"/>
        <w:jc w:val="both"/>
        <w:rPr>
          <w:rFonts w:ascii="Times New Roman" w:hAnsi="Times New Roman" w:cs="Times New Roman"/>
          <w:sz w:val="24"/>
          <w:szCs w:val="24"/>
        </w:rPr>
      </w:pPr>
      <w:r w:rsidRPr="00EE61DB">
        <w:rPr>
          <w:rFonts w:ascii="Times New Roman" w:hAnsi="Times New Roman" w:cs="Times New Roman"/>
          <w:sz w:val="24"/>
          <w:szCs w:val="24"/>
        </w:rPr>
        <w:t>Brokers who don’t have a fiduciary duty to the borrower.</w:t>
      </w:r>
    </w:p>
    <w:p w14:paraId="7887795C" w14:textId="77777777" w:rsidR="00900A85" w:rsidRDefault="00900A85" w:rsidP="00900A85">
      <w:pPr>
        <w:jc w:val="both"/>
      </w:pPr>
    </w:p>
    <w:p w14:paraId="0047AEF8" w14:textId="5186761E" w:rsidR="00900A85" w:rsidRDefault="00900A85" w:rsidP="00900A85">
      <w:pPr>
        <w:jc w:val="both"/>
      </w:pPr>
      <w:r w:rsidRPr="000C63B6">
        <w:t xml:space="preserve">In addition, the </w:t>
      </w:r>
      <w:r w:rsidR="00F9502B">
        <w:t>CFPB</w:t>
      </w:r>
      <w:r w:rsidR="00F9502B" w:rsidRPr="000C63B6">
        <w:t xml:space="preserve"> </w:t>
      </w:r>
      <w:r w:rsidRPr="000C63B6">
        <w:t xml:space="preserve">says it does not matter whether the business in question causes a consumer’s lack of understanding through untruthful statements or </w:t>
      </w:r>
      <w:r>
        <w:t>because</w:t>
      </w:r>
      <w:r w:rsidRPr="000C63B6">
        <w:t xml:space="preserve"> the consumer simply claims to not understand something. </w:t>
      </w:r>
      <w:r w:rsidRPr="000C63B6">
        <w:rPr>
          <w:i/>
          <w:iCs/>
        </w:rPr>
        <w:t>Either</w:t>
      </w:r>
      <w:r w:rsidRPr="000C63B6">
        <w:t xml:space="preserve"> is abusive.</w:t>
      </w:r>
    </w:p>
    <w:p w14:paraId="59100CF9" w14:textId="77777777" w:rsidR="00900A85" w:rsidRDefault="00900A85" w:rsidP="00900A85">
      <w:pPr>
        <w:jc w:val="both"/>
      </w:pPr>
    </w:p>
    <w:p w14:paraId="57CEA518" w14:textId="44C1DAB7" w:rsidR="00900A85" w:rsidRPr="00ED015A" w:rsidRDefault="00900A85" w:rsidP="00900A85">
      <w:pPr>
        <w:jc w:val="both"/>
      </w:pPr>
      <w:r>
        <w:t>This overreaching policy is already being used in enforcement actions. On August 22, 2023, the CFPB sued an installment lender</w:t>
      </w:r>
      <w:r w:rsidR="00DB6471">
        <w:t>,</w:t>
      </w:r>
      <w:r>
        <w:t xml:space="preserve"> </w:t>
      </w:r>
      <w:r w:rsidRPr="004C441A">
        <w:t>mischaracteriz</w:t>
      </w:r>
      <w:r>
        <w:t>ing</w:t>
      </w:r>
      <w:r w:rsidRPr="004C441A">
        <w:t xml:space="preserve"> day-to-day activities and practices specifically allowed by state law as abusive.</w:t>
      </w:r>
      <w:r>
        <w:t xml:space="preserve"> </w:t>
      </w:r>
      <w:r w:rsidRPr="00ED015A">
        <w:t xml:space="preserve">For example, the </w:t>
      </w:r>
      <w:r w:rsidR="00775541">
        <w:t>CFPB</w:t>
      </w:r>
      <w:r w:rsidR="00775541" w:rsidRPr="00ED015A">
        <w:t xml:space="preserve"> </w:t>
      </w:r>
      <w:r w:rsidRPr="00ED015A">
        <w:t>claims that assisting borrowers in refinancing loans is abusive. Refinancing a loan, however, when done in the context of a traditional installment loan (no balloon payments, no hidden fees, a review for ability to repay), can be a good way for borrowers to manage their debt.</w:t>
      </w:r>
    </w:p>
    <w:p w14:paraId="2DA05C84" w14:textId="77777777" w:rsidR="00900A85" w:rsidRDefault="00900A85" w:rsidP="00900A85">
      <w:pPr>
        <w:jc w:val="both"/>
      </w:pPr>
    </w:p>
    <w:p w14:paraId="7C0A02C6" w14:textId="64A27B3C" w:rsidR="00900A85" w:rsidRPr="00ED015A" w:rsidRDefault="00900A85" w:rsidP="00900A85">
      <w:pPr>
        <w:jc w:val="both"/>
      </w:pPr>
      <w:r w:rsidRPr="26032705">
        <w:t xml:space="preserve">The </w:t>
      </w:r>
      <w:r w:rsidR="00775541">
        <w:t>CFPB’s</w:t>
      </w:r>
      <w:r w:rsidR="00775541" w:rsidRPr="26032705">
        <w:t xml:space="preserve"> </w:t>
      </w:r>
      <w:r w:rsidRPr="26032705">
        <w:t>abusive standards are seemingly predicated on two beliefs: consumers who require installment credit are incapable of understanding, let alone managing, their finances in manners that give them the same flexibility other forms of credit provide</w:t>
      </w:r>
      <w:r>
        <w:t>; a</w:t>
      </w:r>
      <w:r w:rsidRPr="26032705">
        <w:t xml:space="preserve">nd that providing such credit products as installment loans and doing so profitably is abusive behavior. Both beliefs are false and misguided and reflect a zealotry that harms </w:t>
      </w:r>
      <w:r w:rsidRPr="00BA4B99">
        <w:rPr>
          <w:i/>
          <w:iCs/>
        </w:rPr>
        <w:t>both</w:t>
      </w:r>
      <w:r w:rsidRPr="26032705">
        <w:t xml:space="preserve"> the consumers the </w:t>
      </w:r>
      <w:r w:rsidR="00D010DB">
        <w:t>CFPB</w:t>
      </w:r>
      <w:r w:rsidR="00D010DB" w:rsidRPr="26032705">
        <w:t xml:space="preserve"> </w:t>
      </w:r>
      <w:r w:rsidRPr="26032705">
        <w:t>claims to be protecting</w:t>
      </w:r>
      <w:r>
        <w:t>,</w:t>
      </w:r>
      <w:r w:rsidRPr="26032705">
        <w:t xml:space="preserve"> and the financial services industry the </w:t>
      </w:r>
      <w:r w:rsidR="00D010DB">
        <w:t>CFPB</w:t>
      </w:r>
      <w:r w:rsidR="00D010DB" w:rsidRPr="26032705">
        <w:t xml:space="preserve"> </w:t>
      </w:r>
      <w:r w:rsidRPr="26032705">
        <w:t>should work to ensure is well</w:t>
      </w:r>
      <w:r>
        <w:t>-</w:t>
      </w:r>
      <w:r w:rsidRPr="26032705">
        <w:t xml:space="preserve">functioning and </w:t>
      </w:r>
      <w:proofErr w:type="gramStart"/>
      <w:r w:rsidRPr="26032705">
        <w:t>meeting</w:t>
      </w:r>
      <w:proofErr w:type="gramEnd"/>
      <w:r w:rsidRPr="26032705">
        <w:t xml:space="preserve"> the needs of the marketplace.</w:t>
      </w:r>
    </w:p>
    <w:p w14:paraId="2719696E" w14:textId="77777777" w:rsidR="00900A85" w:rsidRDefault="00900A85" w:rsidP="00900A85">
      <w:pPr>
        <w:jc w:val="both"/>
      </w:pPr>
    </w:p>
    <w:p w14:paraId="14EE7269" w14:textId="47250AAD" w:rsidR="00900A85" w:rsidRDefault="00900A85" w:rsidP="00900A85">
      <w:pPr>
        <w:jc w:val="both"/>
      </w:pPr>
      <w:r w:rsidRPr="26032705">
        <w:t xml:space="preserve">The </w:t>
      </w:r>
      <w:r w:rsidR="00D010DB">
        <w:t>CFPB</w:t>
      </w:r>
      <w:r w:rsidR="00D010DB" w:rsidRPr="26032705">
        <w:t xml:space="preserve">’s </w:t>
      </w:r>
      <w:r w:rsidRPr="26032705">
        <w:t xml:space="preserve">abusive policy statement is a clear example of regulatory overreach. As outlined above, the </w:t>
      </w:r>
      <w:r w:rsidR="00D010DB">
        <w:t>CFPB</w:t>
      </w:r>
      <w:r w:rsidR="00D010DB" w:rsidRPr="26032705">
        <w:t xml:space="preserve"> </w:t>
      </w:r>
      <w:r w:rsidRPr="26032705">
        <w:t xml:space="preserve">claims “abuse” has occurred if a consumer </w:t>
      </w:r>
      <w:r>
        <w:t>makes a complaint</w:t>
      </w:r>
      <w:r w:rsidRPr="26032705">
        <w:t xml:space="preserve">, even if that complaint is unsubstantiated. This policy statement stands in stark contrast to the “unfair” and “deceptive” polices outlined and litigated for years by the Federal Trade Commission (FTC). </w:t>
      </w:r>
    </w:p>
    <w:p w14:paraId="634C2023" w14:textId="77777777" w:rsidR="00672692" w:rsidRDefault="00672692" w:rsidP="00900A85">
      <w:pPr>
        <w:jc w:val="both"/>
      </w:pPr>
    </w:p>
    <w:p w14:paraId="1AA7EAA2" w14:textId="5494E8AA" w:rsidR="00900A85" w:rsidRDefault="00900A85" w:rsidP="00900A85">
      <w:pPr>
        <w:jc w:val="both"/>
      </w:pPr>
      <w:r>
        <w:t xml:space="preserve">The FTC’s policy statements are based on decades of legal precedent and actual court </w:t>
      </w:r>
      <w:r w:rsidR="00672692">
        <w:t>decisions and</w:t>
      </w:r>
      <w:r>
        <w:t xml:space="preserve"> are written in such a way that compliance is possible.  It is unprecedented that the CFPB is attempting to establish the definition of “abusiveness” through press release, </w:t>
      </w:r>
      <w:r w:rsidR="00024505">
        <w:t xml:space="preserve">a </w:t>
      </w:r>
      <w:r>
        <w:t xml:space="preserve">policy statement unsubstantiated by court decision, and the filing of litigation.  This circumvents the constitutional tenet of due process and is itself demonstrative of an abuse of power. </w:t>
      </w:r>
    </w:p>
    <w:p w14:paraId="7059B2E4" w14:textId="77777777" w:rsidR="00900A85" w:rsidRDefault="00900A85" w:rsidP="00900A85">
      <w:pPr>
        <w:jc w:val="both"/>
      </w:pPr>
      <w:r w:rsidRPr="26032705">
        <w:lastRenderedPageBreak/>
        <w:t xml:space="preserve">Installment lenders create highly successful lending relationships with tangible benefits for the borrower, particularly those who do not have access to other forms of credit. Congress should pass H.R. 2798, </w:t>
      </w:r>
      <w:r w:rsidRPr="26032705">
        <w:rPr>
          <w:i/>
          <w:iCs/>
        </w:rPr>
        <w:t>the CFPB Transparency and Accountability Reform Act</w:t>
      </w:r>
      <w:r w:rsidRPr="26032705">
        <w:t>, to ensure that the CFPB is accountable to Congress and to the American people.</w:t>
      </w:r>
    </w:p>
    <w:p w14:paraId="3C30D1BC" w14:textId="77777777" w:rsidR="00900A85" w:rsidRDefault="00900A85" w:rsidP="00900A85">
      <w:pPr>
        <w:jc w:val="both"/>
      </w:pPr>
    </w:p>
    <w:p w14:paraId="340B183F" w14:textId="77777777" w:rsidR="004F3D93" w:rsidRDefault="004F3D93" w:rsidP="004F3D93">
      <w:r>
        <w:rPr>
          <w:noProof/>
        </w:rPr>
        <w:drawing>
          <wp:anchor distT="0" distB="0" distL="114300" distR="114300" simplePos="0" relativeHeight="251659264" behindDoc="1" locked="0" layoutInCell="1" allowOverlap="1" wp14:anchorId="575CD39B" wp14:editId="1F2ED4A0">
            <wp:simplePos x="0" y="0"/>
            <wp:positionH relativeFrom="margin">
              <wp:posOffset>-91440</wp:posOffset>
            </wp:positionH>
            <wp:positionV relativeFrom="paragraph">
              <wp:posOffset>171450</wp:posOffset>
            </wp:positionV>
            <wp:extent cx="1495425" cy="379730"/>
            <wp:effectExtent l="0" t="0" r="9525" b="127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379730"/>
                    </a:xfrm>
                    <a:prstGeom prst="rect">
                      <a:avLst/>
                    </a:prstGeom>
                    <a:noFill/>
                    <a:ln>
                      <a:noFill/>
                    </a:ln>
                  </pic:spPr>
                </pic:pic>
              </a:graphicData>
            </a:graphic>
          </wp:anchor>
        </w:drawing>
      </w:r>
      <w:r>
        <w:t xml:space="preserve">Sincerely, </w:t>
      </w:r>
    </w:p>
    <w:p w14:paraId="28ADF730" w14:textId="77777777" w:rsidR="004F3D93" w:rsidRDefault="004F3D93" w:rsidP="004F3D93"/>
    <w:p w14:paraId="34F0BF29" w14:textId="77777777" w:rsidR="004F3D93" w:rsidRDefault="004F3D93" w:rsidP="004F3D93"/>
    <w:p w14:paraId="12E24FC1" w14:textId="77777777" w:rsidR="004F3D93" w:rsidRPr="00CD1C76" w:rsidRDefault="004F3D93" w:rsidP="004F3D93">
      <w:r w:rsidRPr="00CD1C76">
        <w:t xml:space="preserve">Celia Winslow </w:t>
      </w:r>
    </w:p>
    <w:p w14:paraId="0F1A5A03" w14:textId="77777777" w:rsidR="004F3D93" w:rsidRDefault="004F3D93" w:rsidP="004F3D93">
      <w:r w:rsidRPr="00CD1C76">
        <w:t xml:space="preserve">Senior Vice President </w:t>
      </w:r>
    </w:p>
    <w:p w14:paraId="00FBCFBA" w14:textId="77777777" w:rsidR="004F3D93" w:rsidRPr="00102EF2" w:rsidRDefault="004F3D93" w:rsidP="004F3D93">
      <w:pPr>
        <w:rPr>
          <w:rFonts w:eastAsiaTheme="minorHAnsi"/>
        </w:rPr>
      </w:pPr>
      <w:r w:rsidRPr="00CD1C76">
        <w:t>American Financial Services Association</w:t>
      </w:r>
    </w:p>
    <w:p w14:paraId="5B8064E5" w14:textId="77777777" w:rsidR="00900A85" w:rsidRDefault="00900A85" w:rsidP="00900A85"/>
    <w:p w14:paraId="65A88895" w14:textId="2EDD1513" w:rsidR="00656F95" w:rsidRPr="00900A85" w:rsidRDefault="00656F95" w:rsidP="00900A85"/>
    <w:sectPr w:rsidR="00656F95" w:rsidRPr="00900A85" w:rsidSect="00FA3081">
      <w:footerReference w:type="even" r:id="rId12"/>
      <w:footerReference w:type="default" r:id="rId13"/>
      <w:headerReference w:type="first" r:id="rId14"/>
      <w:footerReference w:type="first" r:id="rId15"/>
      <w:pgSz w:w="12240" w:h="15840"/>
      <w:pgMar w:top="1440" w:right="1440" w:bottom="1440" w:left="1440" w:header="1296"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DCB1" w14:textId="77777777" w:rsidR="00180DA4" w:rsidRDefault="00180DA4">
      <w:r>
        <w:separator/>
      </w:r>
    </w:p>
  </w:endnote>
  <w:endnote w:type="continuationSeparator" w:id="0">
    <w:p w14:paraId="6BB9AA3A" w14:textId="77777777" w:rsidR="00180DA4" w:rsidRDefault="001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802900"/>
      <w:docPartObj>
        <w:docPartGallery w:val="Page Numbers (Bottom of Page)"/>
        <w:docPartUnique/>
      </w:docPartObj>
    </w:sdtPr>
    <w:sdtContent>
      <w:p w14:paraId="73DB2732" w14:textId="53F5BCBF" w:rsidR="00E35158" w:rsidRDefault="00E35158" w:rsidP="00FA3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A6117" w14:textId="77777777" w:rsidR="00E35158" w:rsidRDefault="00E35158" w:rsidP="00E3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4A4" w14:textId="79977219" w:rsidR="00FA3081" w:rsidRDefault="00FA3081" w:rsidP="00FA3081">
    <w:pPr>
      <w:pStyle w:val="Footer"/>
      <w:tabs>
        <w:tab w:val="clear" w:pos="4680"/>
        <w:tab w:val="clear" w:pos="9360"/>
        <w:tab w:val="left" w:pos="6125"/>
      </w:tabs>
      <w:ind w:right="360"/>
    </w:pPr>
  </w:p>
  <w:sdt>
    <w:sdtPr>
      <w:rPr>
        <w:rStyle w:val="PageNumber"/>
      </w:rPr>
      <w:id w:val="-559248345"/>
      <w:docPartObj>
        <w:docPartGallery w:val="Page Numbers (Bottom of Page)"/>
        <w:docPartUnique/>
      </w:docPartObj>
    </w:sdtPr>
    <w:sdtContent>
      <w:p w14:paraId="25D42C54" w14:textId="77777777" w:rsidR="00FA3081" w:rsidRDefault="00FA3081" w:rsidP="00FA3081">
        <w:pPr>
          <w:pStyle w:val="Footer"/>
          <w:framePr w:wrap="none" w:vAnchor="text" w:hAnchor="page" w:x="10573" w:y="5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B32FC1" w14:textId="42010FBC" w:rsidR="00134A4F" w:rsidRDefault="00FA3081" w:rsidP="00FA3081">
    <w:pPr>
      <w:pStyle w:val="Footer"/>
      <w:tabs>
        <w:tab w:val="clear" w:pos="4680"/>
        <w:tab w:val="clear" w:pos="9360"/>
        <w:tab w:val="left" w:pos="6125"/>
      </w:tabs>
      <w:ind w:right="360"/>
    </w:pPr>
    <w:r>
      <w:rPr>
        <w:noProof/>
      </w:rPr>
      <w:drawing>
        <wp:anchor distT="0" distB="0" distL="114300" distR="114300" simplePos="0" relativeHeight="251665408" behindDoc="0" locked="0" layoutInCell="1" allowOverlap="1" wp14:anchorId="70ED3A7B" wp14:editId="44920AC6">
          <wp:simplePos x="0" y="0"/>
          <wp:positionH relativeFrom="margin">
            <wp:posOffset>-1064260</wp:posOffset>
          </wp:positionH>
          <wp:positionV relativeFrom="margin">
            <wp:posOffset>8669800</wp:posOffset>
          </wp:positionV>
          <wp:extent cx="7927340" cy="4660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psd"/>
                  <pic:cNvPicPr/>
                </pic:nvPicPr>
                <pic:blipFill>
                  <a:blip r:embed="rId1">
                    <a:extLst>
                      <a:ext uri="{28A0092B-C50C-407E-A947-70E740481C1C}">
                        <a14:useLocalDpi xmlns:a14="http://schemas.microsoft.com/office/drawing/2010/main" val="0"/>
                      </a:ext>
                    </a:extLst>
                  </a:blip>
                  <a:stretch>
                    <a:fillRect/>
                  </a:stretch>
                </pic:blipFill>
                <pic:spPr>
                  <a:xfrm>
                    <a:off x="0" y="0"/>
                    <a:ext cx="7927340" cy="4660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50B" w14:textId="3035B387" w:rsidR="00134A4F" w:rsidRDefault="00134A4F" w:rsidP="00FA3081">
    <w:pPr>
      <w:pStyle w:val="Footer"/>
      <w:ind w:right="360"/>
      <w:jc w:val="right"/>
    </w:pPr>
    <w:r>
      <w:rPr>
        <w:noProof/>
      </w:rPr>
      <w:drawing>
        <wp:anchor distT="0" distB="0" distL="114300" distR="114300" simplePos="0" relativeHeight="251660288" behindDoc="0" locked="0" layoutInCell="1" allowOverlap="1" wp14:anchorId="1735178A" wp14:editId="6A3CC263">
          <wp:simplePos x="0" y="0"/>
          <wp:positionH relativeFrom="margin">
            <wp:posOffset>-1026160</wp:posOffset>
          </wp:positionH>
          <wp:positionV relativeFrom="margin">
            <wp:posOffset>8585345</wp:posOffset>
          </wp:positionV>
          <wp:extent cx="7923530" cy="466090"/>
          <wp:effectExtent l="0" t="0" r="127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psd"/>
                  <pic:cNvPicPr/>
                </pic:nvPicPr>
                <pic:blipFill>
                  <a:blip r:embed="rId1">
                    <a:extLst>
                      <a:ext uri="{28A0092B-C50C-407E-A947-70E740481C1C}">
                        <a14:useLocalDpi xmlns:a14="http://schemas.microsoft.com/office/drawing/2010/main" val="0"/>
                      </a:ext>
                    </a:extLst>
                  </a:blip>
                  <a:stretch>
                    <a:fillRect/>
                  </a:stretch>
                </pic:blipFill>
                <pic:spPr>
                  <a:xfrm>
                    <a:off x="0" y="0"/>
                    <a:ext cx="7923530" cy="4660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D349" w14:textId="77777777" w:rsidR="00180DA4" w:rsidRDefault="00180DA4">
      <w:r>
        <w:separator/>
      </w:r>
    </w:p>
  </w:footnote>
  <w:footnote w:type="continuationSeparator" w:id="0">
    <w:p w14:paraId="6C111B5D" w14:textId="77777777" w:rsidR="00180DA4" w:rsidRDefault="00180DA4">
      <w:r>
        <w:continuationSeparator/>
      </w:r>
    </w:p>
  </w:footnote>
  <w:footnote w:id="1">
    <w:p w14:paraId="344FF1CB" w14:textId="0A60F05C" w:rsidR="00D7521C" w:rsidRDefault="00D7521C">
      <w:pPr>
        <w:pStyle w:val="FootnoteText"/>
      </w:pPr>
      <w:r>
        <w:rPr>
          <w:rStyle w:val="FootnoteReference"/>
        </w:rPr>
        <w:footnoteRef/>
      </w:r>
      <w:r>
        <w:t xml:space="preserve"> </w:t>
      </w:r>
      <w:r w:rsidR="00607FA9" w:rsidRPr="00AC4C6E">
        <w:t>Founded in 1916, AFSA is the national trade association for the consumer credit industry, protecting access to credit and consumer choice. AFSA members provide consumers with many kinds of credit, including traditional installment loans, mortgages, direct and indirect vehicle financing, payment cards, and retail sales finance</w:t>
      </w:r>
      <w:r w:rsidR="00607FA9">
        <w:t>.</w:t>
      </w:r>
    </w:p>
  </w:footnote>
  <w:footnote w:id="2">
    <w:p w14:paraId="7324F0B7" w14:textId="5A74E46D" w:rsidR="006010C0" w:rsidRDefault="006010C0" w:rsidP="006010C0">
      <w:pPr>
        <w:pStyle w:val="FootnoteText"/>
      </w:pPr>
      <w:r>
        <w:rPr>
          <w:rStyle w:val="FootnoteReference"/>
        </w:rPr>
        <w:footnoteRef/>
      </w:r>
      <w:r>
        <w:t xml:space="preserve"> Policy Statement on Abusive Acts or Practices, APR 03, 2023, </w:t>
      </w:r>
      <w:r w:rsidR="00F9502B" w:rsidRPr="00F9502B">
        <w:t>https://www.consumerfinance.gov/compliance/supervisory-guidance/policy-statement-on-abusiveness/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C98E" w14:textId="46768F7F" w:rsidR="00B73E57" w:rsidRDefault="00FA3081" w:rsidP="00FA3081">
    <w:pPr>
      <w:pStyle w:val="Header"/>
      <w:tabs>
        <w:tab w:val="clear" w:pos="4680"/>
        <w:tab w:val="clear" w:pos="9360"/>
        <w:tab w:val="left" w:pos="2461"/>
      </w:tabs>
    </w:pPr>
    <w:r w:rsidRPr="00E7519B">
      <w:rPr>
        <w:noProof/>
      </w:rPr>
      <w:drawing>
        <wp:anchor distT="0" distB="0" distL="114300" distR="114300" simplePos="0" relativeHeight="251663360" behindDoc="0" locked="0" layoutInCell="1" allowOverlap="1" wp14:anchorId="7FD7594F" wp14:editId="3C233092">
          <wp:simplePos x="0" y="0"/>
          <wp:positionH relativeFrom="margin">
            <wp:posOffset>-1169075</wp:posOffset>
          </wp:positionH>
          <wp:positionV relativeFrom="margin">
            <wp:posOffset>-1320270</wp:posOffset>
          </wp:positionV>
          <wp:extent cx="8132445" cy="1145540"/>
          <wp:effectExtent l="0" t="0" r="0" b="0"/>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psd"/>
                  <pic:cNvPicPr/>
                </pic:nvPicPr>
                <pic:blipFill>
                  <a:blip r:embed="rId1">
                    <a:extLst>
                      <a:ext uri="{28A0092B-C50C-407E-A947-70E740481C1C}">
                        <a14:useLocalDpi xmlns:a14="http://schemas.microsoft.com/office/drawing/2010/main" val="0"/>
                      </a:ext>
                    </a:extLst>
                  </a:blip>
                  <a:stretch>
                    <a:fillRect/>
                  </a:stretch>
                </pic:blipFill>
                <pic:spPr>
                  <a:xfrm>
                    <a:off x="0" y="0"/>
                    <a:ext cx="8132445" cy="11455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D94"/>
    <w:multiLevelType w:val="multilevel"/>
    <w:tmpl w:val="C02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5A16"/>
    <w:multiLevelType w:val="hybridMultilevel"/>
    <w:tmpl w:val="8A6CE82E"/>
    <w:lvl w:ilvl="0" w:tplc="F4248E3E">
      <w:start w:val="1"/>
      <w:numFmt w:val="decimal"/>
      <w:pStyle w:val="Number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730BA"/>
    <w:multiLevelType w:val="hybridMultilevel"/>
    <w:tmpl w:val="36E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B3636"/>
    <w:multiLevelType w:val="hybridMultilevel"/>
    <w:tmpl w:val="E5707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781382">
    <w:abstractNumId w:val="3"/>
  </w:num>
  <w:num w:numId="2" w16cid:durableId="1197962971">
    <w:abstractNumId w:val="1"/>
  </w:num>
  <w:num w:numId="3" w16cid:durableId="1447771263">
    <w:abstractNumId w:val="1"/>
  </w:num>
  <w:num w:numId="4" w16cid:durableId="634332640">
    <w:abstractNumId w:val="1"/>
  </w:num>
  <w:num w:numId="5" w16cid:durableId="1850945491">
    <w:abstractNumId w:val="0"/>
  </w:num>
  <w:num w:numId="6" w16cid:durableId="214434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5B"/>
    <w:rsid w:val="00002354"/>
    <w:rsid w:val="00024505"/>
    <w:rsid w:val="0005061C"/>
    <w:rsid w:val="00086940"/>
    <w:rsid w:val="000B06C1"/>
    <w:rsid w:val="000C5AAD"/>
    <w:rsid w:val="000D0BE2"/>
    <w:rsid w:val="000D36D9"/>
    <w:rsid w:val="00103588"/>
    <w:rsid w:val="00134A4F"/>
    <w:rsid w:val="001351DB"/>
    <w:rsid w:val="0015441E"/>
    <w:rsid w:val="00172C69"/>
    <w:rsid w:val="00176438"/>
    <w:rsid w:val="00180DA4"/>
    <w:rsid w:val="001B62AE"/>
    <w:rsid w:val="002C121C"/>
    <w:rsid w:val="00315760"/>
    <w:rsid w:val="00323FDC"/>
    <w:rsid w:val="00393B21"/>
    <w:rsid w:val="003A34A5"/>
    <w:rsid w:val="003F51E3"/>
    <w:rsid w:val="004065A9"/>
    <w:rsid w:val="00481896"/>
    <w:rsid w:val="004E1843"/>
    <w:rsid w:val="004F3D93"/>
    <w:rsid w:val="00516B5B"/>
    <w:rsid w:val="00547EEA"/>
    <w:rsid w:val="0056757C"/>
    <w:rsid w:val="0057765D"/>
    <w:rsid w:val="005F7F4B"/>
    <w:rsid w:val="006010C0"/>
    <w:rsid w:val="00603797"/>
    <w:rsid w:val="00607BA5"/>
    <w:rsid w:val="00607FA9"/>
    <w:rsid w:val="00615372"/>
    <w:rsid w:val="0061748C"/>
    <w:rsid w:val="00637229"/>
    <w:rsid w:val="00651A61"/>
    <w:rsid w:val="00656F95"/>
    <w:rsid w:val="00672692"/>
    <w:rsid w:val="006A66F7"/>
    <w:rsid w:val="006E30E4"/>
    <w:rsid w:val="006F195F"/>
    <w:rsid w:val="006F3FC3"/>
    <w:rsid w:val="00745584"/>
    <w:rsid w:val="00753ED0"/>
    <w:rsid w:val="007559E6"/>
    <w:rsid w:val="00757EFC"/>
    <w:rsid w:val="00775541"/>
    <w:rsid w:val="007823F6"/>
    <w:rsid w:val="007A2D49"/>
    <w:rsid w:val="007D32AD"/>
    <w:rsid w:val="007D4A2E"/>
    <w:rsid w:val="00836EF6"/>
    <w:rsid w:val="00860EF3"/>
    <w:rsid w:val="008701EA"/>
    <w:rsid w:val="00900A85"/>
    <w:rsid w:val="009858DC"/>
    <w:rsid w:val="009957A9"/>
    <w:rsid w:val="009A3EC3"/>
    <w:rsid w:val="009B4D67"/>
    <w:rsid w:val="009C6B8B"/>
    <w:rsid w:val="00A5402C"/>
    <w:rsid w:val="00AA3657"/>
    <w:rsid w:val="00AC7882"/>
    <w:rsid w:val="00B14A27"/>
    <w:rsid w:val="00B2512D"/>
    <w:rsid w:val="00B36C37"/>
    <w:rsid w:val="00B55F2D"/>
    <w:rsid w:val="00B73E57"/>
    <w:rsid w:val="00BB51C3"/>
    <w:rsid w:val="00C33A78"/>
    <w:rsid w:val="00C41DA9"/>
    <w:rsid w:val="00C66A93"/>
    <w:rsid w:val="00C70577"/>
    <w:rsid w:val="00C93D3C"/>
    <w:rsid w:val="00C9401F"/>
    <w:rsid w:val="00C95167"/>
    <w:rsid w:val="00CE5200"/>
    <w:rsid w:val="00CE5A8C"/>
    <w:rsid w:val="00D010DB"/>
    <w:rsid w:val="00D02834"/>
    <w:rsid w:val="00D51A8B"/>
    <w:rsid w:val="00D7521C"/>
    <w:rsid w:val="00D7629E"/>
    <w:rsid w:val="00D914CB"/>
    <w:rsid w:val="00DA14A3"/>
    <w:rsid w:val="00DB6471"/>
    <w:rsid w:val="00E045C9"/>
    <w:rsid w:val="00E34031"/>
    <w:rsid w:val="00E35158"/>
    <w:rsid w:val="00E7495D"/>
    <w:rsid w:val="00EC0480"/>
    <w:rsid w:val="00EC3F5C"/>
    <w:rsid w:val="00F14A3E"/>
    <w:rsid w:val="00F42F6E"/>
    <w:rsid w:val="00F44651"/>
    <w:rsid w:val="00F60E15"/>
    <w:rsid w:val="00F63B93"/>
    <w:rsid w:val="00F9502B"/>
    <w:rsid w:val="00FA1DF1"/>
    <w:rsid w:val="00FA3081"/>
    <w:rsid w:val="00FD33D0"/>
    <w:rsid w:val="00FD78E4"/>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06DD1"/>
  <w15:docId w15:val="{E72631C5-84B9-47C5-9F30-0A5624CD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27"/>
    <w:rPr>
      <w:sz w:val="24"/>
      <w:szCs w:val="24"/>
      <w:lang w:eastAsia="ja-JP"/>
    </w:rPr>
  </w:style>
  <w:style w:type="paragraph" w:styleId="Heading1">
    <w:name w:val="heading 1"/>
    <w:basedOn w:val="Normal"/>
    <w:link w:val="Heading1Char"/>
    <w:uiPriority w:val="9"/>
    <w:qFormat/>
    <w:rsid w:val="002C121C"/>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D49"/>
    <w:pPr>
      <w:widowControl w:val="0"/>
      <w:spacing w:after="240"/>
    </w:pPr>
    <w:rPr>
      <w:rFonts w:ascii="Arial" w:hAnsi="Arial"/>
      <w:sz w:val="22"/>
      <w:szCs w:val="22"/>
    </w:rPr>
  </w:style>
  <w:style w:type="paragraph" w:customStyle="1" w:styleId="BodyTextContinued">
    <w:name w:val="Body Text Continued"/>
    <w:basedOn w:val="BodyText"/>
    <w:next w:val="BodyText"/>
    <w:rsid w:val="00753ED0"/>
    <w:pPr>
      <w:spacing w:after="0"/>
    </w:pPr>
  </w:style>
  <w:style w:type="paragraph" w:styleId="Quote">
    <w:name w:val="Quote"/>
    <w:basedOn w:val="Normal"/>
    <w:next w:val="BodyTextContinued"/>
    <w:qFormat/>
    <w:rsid w:val="00B14A27"/>
    <w:pPr>
      <w:spacing w:after="240"/>
      <w:ind w:left="1440" w:right="1440"/>
    </w:pPr>
    <w:rPr>
      <w:szCs w:val="20"/>
    </w:rPr>
  </w:style>
  <w:style w:type="paragraph" w:styleId="Header">
    <w:name w:val="header"/>
    <w:basedOn w:val="Normal"/>
    <w:rsid w:val="00B14A27"/>
    <w:pPr>
      <w:tabs>
        <w:tab w:val="center" w:pos="4680"/>
        <w:tab w:val="right" w:pos="9360"/>
      </w:tabs>
    </w:pPr>
  </w:style>
  <w:style w:type="paragraph" w:styleId="Footer">
    <w:name w:val="footer"/>
    <w:basedOn w:val="Normal"/>
    <w:rsid w:val="00B14A27"/>
    <w:pPr>
      <w:tabs>
        <w:tab w:val="center" w:pos="4680"/>
        <w:tab w:val="right" w:pos="9360"/>
      </w:tabs>
    </w:pPr>
  </w:style>
  <w:style w:type="character" w:styleId="PageNumber">
    <w:name w:val="page number"/>
    <w:basedOn w:val="DefaultParagraphFont"/>
    <w:rsid w:val="00B14A27"/>
  </w:style>
  <w:style w:type="paragraph" w:customStyle="1" w:styleId="Title2">
    <w:name w:val="Title2"/>
    <w:basedOn w:val="Normal"/>
    <w:rsid w:val="007A2D49"/>
    <w:pPr>
      <w:spacing w:after="240"/>
    </w:pPr>
    <w:rPr>
      <w:rFonts w:ascii="Arial" w:hAnsi="Arial"/>
      <w:b/>
      <w:sz w:val="32"/>
      <w:szCs w:val="32"/>
    </w:rPr>
  </w:style>
  <w:style w:type="paragraph" w:customStyle="1" w:styleId="NumberPara">
    <w:name w:val="Number Para"/>
    <w:basedOn w:val="BodyText"/>
    <w:rsid w:val="00753ED0"/>
    <w:pPr>
      <w:numPr>
        <w:numId w:val="2"/>
      </w:numPr>
    </w:pPr>
  </w:style>
  <w:style w:type="character" w:styleId="Hyperlink">
    <w:name w:val="Hyperlink"/>
    <w:basedOn w:val="DefaultParagraphFont"/>
    <w:rsid w:val="00172C69"/>
    <w:rPr>
      <w:color w:val="0000FF"/>
      <w:u w:val="single"/>
    </w:rPr>
  </w:style>
  <w:style w:type="character" w:customStyle="1" w:styleId="zzmpTrailerItem">
    <w:name w:val="zzmpTrailerItem"/>
    <w:basedOn w:val="DefaultParagraphFont"/>
    <w:rsid w:val="004065A9"/>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6F195F"/>
    <w:rPr>
      <w:color w:val="605E5C"/>
      <w:shd w:val="clear" w:color="auto" w:fill="E1DFDD"/>
    </w:rPr>
  </w:style>
  <w:style w:type="paragraph" w:styleId="FootnoteText">
    <w:name w:val="footnote text"/>
    <w:basedOn w:val="Normal"/>
    <w:link w:val="FootnoteTextChar"/>
    <w:uiPriority w:val="99"/>
    <w:semiHidden/>
    <w:unhideWhenUsed/>
    <w:rsid w:val="00E35158"/>
    <w:rPr>
      <w:sz w:val="20"/>
      <w:szCs w:val="20"/>
    </w:rPr>
  </w:style>
  <w:style w:type="character" w:customStyle="1" w:styleId="FootnoteTextChar">
    <w:name w:val="Footnote Text Char"/>
    <w:basedOn w:val="DefaultParagraphFont"/>
    <w:link w:val="FootnoteText"/>
    <w:uiPriority w:val="99"/>
    <w:semiHidden/>
    <w:rsid w:val="00E35158"/>
    <w:rPr>
      <w:lang w:eastAsia="ja-JP"/>
    </w:rPr>
  </w:style>
  <w:style w:type="character" w:styleId="FootnoteReference">
    <w:name w:val="footnote reference"/>
    <w:basedOn w:val="DefaultParagraphFont"/>
    <w:uiPriority w:val="99"/>
    <w:semiHidden/>
    <w:unhideWhenUsed/>
    <w:rsid w:val="00E35158"/>
    <w:rPr>
      <w:vertAlign w:val="superscript"/>
    </w:rPr>
  </w:style>
  <w:style w:type="character" w:customStyle="1" w:styleId="Heading1Char">
    <w:name w:val="Heading 1 Char"/>
    <w:basedOn w:val="DefaultParagraphFont"/>
    <w:link w:val="Heading1"/>
    <w:uiPriority w:val="9"/>
    <w:rsid w:val="002C121C"/>
    <w:rPr>
      <w:rFonts w:eastAsia="Times New Roman"/>
      <w:b/>
      <w:bCs/>
      <w:kern w:val="36"/>
      <w:sz w:val="48"/>
      <w:szCs w:val="48"/>
    </w:rPr>
  </w:style>
  <w:style w:type="paragraph" w:styleId="NormalWeb">
    <w:name w:val="Normal (Web)"/>
    <w:basedOn w:val="Normal"/>
    <w:uiPriority w:val="99"/>
    <w:semiHidden/>
    <w:unhideWhenUsed/>
    <w:rsid w:val="002C121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900A8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leGrid">
    <w:name w:val="Table Grid"/>
    <w:basedOn w:val="TableNormal"/>
    <w:uiPriority w:val="39"/>
    <w:rsid w:val="00900A85"/>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F2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5620">
      <w:bodyDiv w:val="1"/>
      <w:marLeft w:val="0"/>
      <w:marRight w:val="0"/>
      <w:marTop w:val="0"/>
      <w:marBottom w:val="0"/>
      <w:divBdr>
        <w:top w:val="none" w:sz="0" w:space="0" w:color="auto"/>
        <w:left w:val="none" w:sz="0" w:space="0" w:color="auto"/>
        <w:bottom w:val="none" w:sz="0" w:space="0" w:color="auto"/>
        <w:right w:val="none" w:sz="0" w:space="0" w:color="auto"/>
      </w:divBdr>
    </w:div>
    <w:div w:id="195155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f2123a-2c5a-45da-b173-70e6fb668593">
      <Terms xmlns="http://schemas.microsoft.com/office/infopath/2007/PartnerControls"/>
    </lcf76f155ced4ddcb4097134ff3c332f>
    <TaxCatchAll xmlns="060c0e28-391d-4183-a481-08064c3d94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C532CB241934ABFE0C2FD2CFB7A8F" ma:contentTypeVersion="16" ma:contentTypeDescription="Create a new document." ma:contentTypeScope="" ma:versionID="4991c107953649bdbd4c2b2a478f35a6">
  <xsd:schema xmlns:xsd="http://www.w3.org/2001/XMLSchema" xmlns:xs="http://www.w3.org/2001/XMLSchema" xmlns:p="http://schemas.microsoft.com/office/2006/metadata/properties" xmlns:ns2="060c0e28-391d-4183-a481-08064c3d949f" xmlns:ns3="5af2123a-2c5a-45da-b173-70e6fb668593" targetNamespace="http://schemas.microsoft.com/office/2006/metadata/properties" ma:root="true" ma:fieldsID="838d8768da6ad3b91ee3871db2d9352d" ns2:_="" ns3:_="">
    <xsd:import namespace="060c0e28-391d-4183-a481-08064c3d949f"/>
    <xsd:import namespace="5af2123a-2c5a-45da-b173-70e6fb6685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0e28-391d-4183-a481-08064c3d9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89e5d-3710-4435-99b9-a66f46bb20f3}" ma:internalName="TaxCatchAll" ma:showField="CatchAllData" ma:web="060c0e28-391d-4183-a481-08064c3d9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f2123a-2c5a-45da-b173-70e6fb6685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71a03d-c73b-462c-acdb-f921ce4731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AEB0-E771-40FA-BEA0-79BA6CF39B2C}">
  <ds:schemaRefs>
    <ds:schemaRef ds:uri="http://schemas.microsoft.com/sharepoint/v3/contenttype/forms"/>
  </ds:schemaRefs>
</ds:datastoreItem>
</file>

<file path=customXml/itemProps2.xml><?xml version="1.0" encoding="utf-8"?>
<ds:datastoreItem xmlns:ds="http://schemas.openxmlformats.org/officeDocument/2006/customXml" ds:itemID="{C2601581-AA71-4542-A505-F07E1215A108}">
  <ds:schemaRefs>
    <ds:schemaRef ds:uri="http://schemas.microsoft.com/office/2006/metadata/properties"/>
    <ds:schemaRef ds:uri="http://schemas.microsoft.com/office/infopath/2007/PartnerControls"/>
    <ds:schemaRef ds:uri="5af2123a-2c5a-45da-b173-70e6fb668593"/>
    <ds:schemaRef ds:uri="060c0e28-391d-4183-a481-08064c3d949f"/>
  </ds:schemaRefs>
</ds:datastoreItem>
</file>

<file path=customXml/itemProps3.xml><?xml version="1.0" encoding="utf-8"?>
<ds:datastoreItem xmlns:ds="http://schemas.openxmlformats.org/officeDocument/2006/customXml" ds:itemID="{9735989F-3227-4F6E-A322-E751A032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0e28-391d-4183-a481-08064c3d949f"/>
    <ds:schemaRef ds:uri="5af2123a-2c5a-45da-b173-70e6fb66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B47F0-67EB-4005-A754-60074B2B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Antitrust Policy Statement</vt:lpstr>
    </vt:vector>
  </TitlesOfParts>
  <Company>AFSA</Company>
  <LinksUpToDate>false</LinksUpToDate>
  <CharactersWithSpaces>5171</CharactersWithSpaces>
  <SharedDoc>false</SharedDoc>
  <HyperlinkBase/>
  <HLinks>
    <vt:vector size="6" baseType="variant">
      <vt:variant>
        <vt:i4>6094958</vt:i4>
      </vt:variant>
      <vt:variant>
        <vt:i4>0</vt:i4>
      </vt:variant>
      <vt:variant>
        <vt:i4>0</vt:i4>
      </vt:variant>
      <vt:variant>
        <vt:i4>5</vt:i4>
      </vt:variant>
      <vt:variant>
        <vt:lpwstr>mailto:afsa@afsaonline.org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Policy Statement</dc:title>
  <dc:creator>Danielle Fagre Arlowe</dc:creator>
  <cp:lastModifiedBy>Ann Harter</cp:lastModifiedBy>
  <cp:revision>2</cp:revision>
  <cp:lastPrinted>2020-06-18T15:07:00Z</cp:lastPrinted>
  <dcterms:created xsi:type="dcterms:W3CDTF">2023-09-19T14:23:00Z</dcterms:created>
  <dcterms:modified xsi:type="dcterms:W3CDTF">2023-09-19T14:23:00Z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0x010100190C532CB241934ABFE0C2FD2CFB7A8F</vt:lpwstr>
  </property>
  <property fmtid="{D5CDD505-2E9C-101B-9397-08002B2CF9AE}" pid="3" name="Order">
    <vt:r8>21883400</vt:r8>
  </property>
  <property fmtid="{D5CDD505-2E9C-101B-9397-08002B2CF9AE}" pid="4" name="MediaServiceImageTags">
    <vt:lpwstr/>
  </property>
</Properties>
</file>